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A56F9" w14:textId="77777777" w:rsidR="00322548" w:rsidRDefault="00322548">
      <w:pPr>
        <w:spacing w:after="200"/>
        <w:rPr>
          <w:b/>
          <w:bCs/>
          <w:sz w:val="28"/>
          <w:szCs w:val="28"/>
        </w:rPr>
      </w:pPr>
    </w:p>
    <w:p w14:paraId="32E751F8" w14:textId="77777777" w:rsidR="00322548" w:rsidRDefault="00322548">
      <w:pPr>
        <w:spacing w:after="200"/>
        <w:rPr>
          <w:b/>
          <w:bCs/>
          <w:sz w:val="28"/>
          <w:szCs w:val="28"/>
        </w:rPr>
      </w:pPr>
    </w:p>
    <w:p w14:paraId="6F4063D1" w14:textId="77777777" w:rsidR="00322548" w:rsidRDefault="00322548">
      <w:pPr>
        <w:spacing w:after="200"/>
        <w:rPr>
          <w:b/>
          <w:bCs/>
          <w:sz w:val="28"/>
          <w:szCs w:val="28"/>
        </w:rPr>
      </w:pPr>
    </w:p>
    <w:p w14:paraId="14424922" w14:textId="77777777" w:rsidR="00322548" w:rsidRDefault="004D2B7B">
      <w:pPr>
        <w:spacing w:after="200"/>
        <w:rPr>
          <w:b/>
          <w:bCs/>
          <w:sz w:val="28"/>
          <w:szCs w:val="28"/>
        </w:rPr>
      </w:pPr>
      <w:r>
        <w:rPr>
          <w:b/>
          <w:bCs/>
          <w:sz w:val="28"/>
          <w:szCs w:val="28"/>
        </w:rPr>
        <w:t>An EpCAM-Targeted Mirror-Image DNA Nanostructure for Precise Drug Delivery in Triple-Negative Breast Cancer</w:t>
      </w:r>
    </w:p>
    <w:p w14:paraId="4DFC48BC" w14:textId="77777777" w:rsidR="00322548" w:rsidRDefault="00322548">
      <w:pPr>
        <w:spacing w:after="200"/>
        <w:rPr>
          <w:sz w:val="20"/>
          <w:szCs w:val="20"/>
        </w:rPr>
      </w:pPr>
    </w:p>
    <w:p w14:paraId="627F34A7" w14:textId="77777777" w:rsidR="00322548" w:rsidRDefault="00322548">
      <w:pPr>
        <w:spacing w:after="200"/>
        <w:rPr>
          <w:sz w:val="20"/>
          <w:szCs w:val="20"/>
        </w:rPr>
      </w:pPr>
    </w:p>
    <w:p w14:paraId="4513DB23" w14:textId="77777777" w:rsidR="00322548" w:rsidRDefault="00322548">
      <w:pPr>
        <w:spacing w:after="200"/>
        <w:rPr>
          <w:sz w:val="20"/>
          <w:szCs w:val="20"/>
        </w:rPr>
      </w:pPr>
    </w:p>
    <w:p w14:paraId="25CA99D8" w14:textId="45B5B53B" w:rsidR="00322548" w:rsidRDefault="004D2B7B">
      <w:pPr>
        <w:spacing w:after="200"/>
        <w:rPr>
          <w:sz w:val="20"/>
          <w:szCs w:val="20"/>
        </w:rPr>
      </w:pPr>
      <w:r>
        <w:rPr>
          <w:sz w:val="20"/>
          <w:szCs w:val="20"/>
        </w:rPr>
        <w:t>Sihan Wu</w:t>
      </w:r>
      <w:r w:rsidR="0060646E">
        <w:rPr>
          <w:sz w:val="20"/>
          <w:szCs w:val="20"/>
          <w:vertAlign w:val="superscript"/>
        </w:rPr>
        <w:t>[a</w:t>
      </w:r>
      <w:proofErr w:type="gramStart"/>
      <w:r w:rsidR="0060646E">
        <w:rPr>
          <w:sz w:val="20"/>
          <w:szCs w:val="20"/>
          <w:vertAlign w:val="superscript"/>
        </w:rPr>
        <w:t>]</w:t>
      </w:r>
      <w:r>
        <w:rPr>
          <w:sz w:val="20"/>
          <w:szCs w:val="20"/>
          <w:vertAlign w:val="superscript"/>
        </w:rPr>
        <w:t>,</w:t>
      </w:r>
      <w:r w:rsidR="0060646E">
        <w:rPr>
          <w:sz w:val="20"/>
          <w:szCs w:val="20"/>
          <w:vertAlign w:val="superscript"/>
        </w:rPr>
        <w:t>[</w:t>
      </w:r>
      <w:proofErr w:type="gramEnd"/>
      <w:r w:rsidR="00922913">
        <w:rPr>
          <w:sz w:val="20"/>
          <w:szCs w:val="20"/>
          <w:vertAlign w:val="superscript"/>
        </w:rPr>
        <w:t>b</w:t>
      </w:r>
      <w:r w:rsidR="0060646E">
        <w:rPr>
          <w:sz w:val="20"/>
          <w:szCs w:val="20"/>
          <w:vertAlign w:val="superscript"/>
        </w:rPr>
        <w:t>]</w:t>
      </w:r>
      <w:r>
        <w:rPr>
          <w:sz w:val="20"/>
          <w:szCs w:val="20"/>
        </w:rPr>
        <w:t>, Terry Farkaly</w:t>
      </w:r>
      <w:proofErr w:type="gramStart"/>
      <w:r w:rsidR="0060646E">
        <w:rPr>
          <w:sz w:val="20"/>
          <w:szCs w:val="20"/>
          <w:vertAlign w:val="superscript"/>
        </w:rPr>
        <w:t>[</w:t>
      </w:r>
      <w:r w:rsidR="00F32813">
        <w:rPr>
          <w:sz w:val="20"/>
          <w:szCs w:val="20"/>
          <w:vertAlign w:val="superscript"/>
        </w:rPr>
        <w:t>a]</w:t>
      </w:r>
      <w:r>
        <w:rPr>
          <w:sz w:val="20"/>
          <w:szCs w:val="20"/>
        </w:rPr>
        <w:t xml:space="preserve"> and</w:t>
      </w:r>
      <w:proofErr w:type="gramEnd"/>
      <w:r>
        <w:rPr>
          <w:sz w:val="20"/>
          <w:szCs w:val="20"/>
        </w:rPr>
        <w:t xml:space="preserve"> Wen Zhang</w:t>
      </w:r>
      <w:r w:rsidR="00F32813">
        <w:rPr>
          <w:sz w:val="20"/>
          <w:szCs w:val="20"/>
          <w:vertAlign w:val="superscript"/>
        </w:rPr>
        <w:t>[a</w:t>
      </w:r>
      <w:proofErr w:type="gramStart"/>
      <w:r w:rsidR="00F32813">
        <w:rPr>
          <w:sz w:val="20"/>
          <w:szCs w:val="20"/>
          <w:vertAlign w:val="superscript"/>
        </w:rPr>
        <w:t>]</w:t>
      </w:r>
      <w:r>
        <w:rPr>
          <w:sz w:val="20"/>
          <w:szCs w:val="20"/>
          <w:vertAlign w:val="superscript"/>
        </w:rPr>
        <w:t>,</w:t>
      </w:r>
      <w:r w:rsidR="00F32813">
        <w:rPr>
          <w:sz w:val="20"/>
          <w:szCs w:val="20"/>
          <w:vertAlign w:val="superscript"/>
        </w:rPr>
        <w:t>[</w:t>
      </w:r>
      <w:proofErr w:type="gramEnd"/>
      <w:r w:rsidR="00922913">
        <w:rPr>
          <w:sz w:val="20"/>
          <w:szCs w:val="20"/>
          <w:vertAlign w:val="superscript"/>
        </w:rPr>
        <w:t>c</w:t>
      </w:r>
      <w:r w:rsidR="00F32813">
        <w:rPr>
          <w:sz w:val="20"/>
          <w:szCs w:val="20"/>
          <w:vertAlign w:val="superscript"/>
        </w:rPr>
        <w:t>]</w:t>
      </w:r>
      <w:r>
        <w:rPr>
          <w:sz w:val="20"/>
          <w:szCs w:val="20"/>
        </w:rPr>
        <w:t>*</w:t>
      </w:r>
    </w:p>
    <w:p w14:paraId="687CBBEC" w14:textId="77777777" w:rsidR="00322548" w:rsidRDefault="00322548">
      <w:pPr>
        <w:rPr>
          <w:sz w:val="20"/>
          <w:szCs w:val="20"/>
          <w:vertAlign w:val="superscript"/>
        </w:rPr>
      </w:pPr>
    </w:p>
    <w:p w14:paraId="14423F61" w14:textId="77777777" w:rsidR="00322548" w:rsidRDefault="00322548">
      <w:pPr>
        <w:rPr>
          <w:sz w:val="20"/>
          <w:szCs w:val="20"/>
          <w:vertAlign w:val="superscript"/>
        </w:rPr>
      </w:pPr>
    </w:p>
    <w:p w14:paraId="4C861C44" w14:textId="77777777" w:rsidR="00322548" w:rsidRDefault="00322548">
      <w:pPr>
        <w:rPr>
          <w:sz w:val="20"/>
          <w:szCs w:val="20"/>
          <w:vertAlign w:val="superscript"/>
        </w:rPr>
      </w:pPr>
    </w:p>
    <w:p w14:paraId="4FF7471A" w14:textId="77777777" w:rsidR="00322548" w:rsidRDefault="00322548">
      <w:pPr>
        <w:rPr>
          <w:sz w:val="20"/>
          <w:szCs w:val="20"/>
          <w:vertAlign w:val="superscript"/>
        </w:rPr>
      </w:pPr>
    </w:p>
    <w:p w14:paraId="5C6F8796" w14:textId="1515356D" w:rsidR="00322548" w:rsidRDefault="00F32813">
      <w:pPr>
        <w:rPr>
          <w:sz w:val="20"/>
          <w:szCs w:val="20"/>
        </w:rPr>
      </w:pPr>
      <w:r>
        <w:rPr>
          <w:sz w:val="20"/>
          <w:szCs w:val="20"/>
          <w:vertAlign w:val="superscript"/>
        </w:rPr>
        <w:t>[</w:t>
      </w:r>
      <w:r w:rsidR="00922913">
        <w:rPr>
          <w:sz w:val="20"/>
          <w:szCs w:val="20"/>
          <w:vertAlign w:val="superscript"/>
        </w:rPr>
        <w:t>a</w:t>
      </w:r>
      <w:r>
        <w:rPr>
          <w:sz w:val="20"/>
          <w:szCs w:val="20"/>
          <w:vertAlign w:val="superscript"/>
        </w:rPr>
        <w:t>]</w:t>
      </w:r>
      <w:r w:rsidR="004D2B7B">
        <w:rPr>
          <w:sz w:val="20"/>
          <w:szCs w:val="20"/>
        </w:rPr>
        <w:t xml:space="preserve"> Department of Biochemistry, Molecular Biology and Pharmacology, Indiana University School of Medicine, 635 Barnhill Drive, Indianapolis, IN 46202</w:t>
      </w:r>
    </w:p>
    <w:p w14:paraId="3DB168D9" w14:textId="07AD8A91" w:rsidR="00322548" w:rsidRDefault="00F32813">
      <w:pPr>
        <w:rPr>
          <w:sz w:val="20"/>
          <w:szCs w:val="20"/>
        </w:rPr>
      </w:pPr>
      <w:r>
        <w:rPr>
          <w:sz w:val="20"/>
          <w:szCs w:val="20"/>
          <w:vertAlign w:val="superscript"/>
        </w:rPr>
        <w:t>[</w:t>
      </w:r>
      <w:r w:rsidR="00922913">
        <w:rPr>
          <w:sz w:val="20"/>
          <w:szCs w:val="20"/>
          <w:vertAlign w:val="superscript"/>
        </w:rPr>
        <w:t>b</w:t>
      </w:r>
      <w:r>
        <w:rPr>
          <w:sz w:val="20"/>
          <w:szCs w:val="20"/>
          <w:vertAlign w:val="superscript"/>
        </w:rPr>
        <w:t>]</w:t>
      </w:r>
      <w:r w:rsidR="004D2B7B">
        <w:rPr>
          <w:sz w:val="20"/>
          <w:szCs w:val="20"/>
        </w:rPr>
        <w:t xml:space="preserve"> Carmel High School, 520 E. Main Street, Carmel, IN 46032</w:t>
      </w:r>
    </w:p>
    <w:p w14:paraId="5A102120" w14:textId="4C59BF10" w:rsidR="00322548" w:rsidRDefault="002651D0">
      <w:pPr>
        <w:rPr>
          <w:sz w:val="20"/>
          <w:szCs w:val="20"/>
          <w:vertAlign w:val="superscript"/>
        </w:rPr>
      </w:pPr>
      <w:r>
        <w:rPr>
          <w:sz w:val="20"/>
          <w:szCs w:val="20"/>
          <w:vertAlign w:val="superscript"/>
        </w:rPr>
        <w:t>[</w:t>
      </w:r>
      <w:r w:rsidR="00922913">
        <w:rPr>
          <w:sz w:val="20"/>
          <w:szCs w:val="20"/>
          <w:vertAlign w:val="superscript"/>
        </w:rPr>
        <w:t>c</w:t>
      </w:r>
      <w:proofErr w:type="gramStart"/>
      <w:r>
        <w:rPr>
          <w:sz w:val="20"/>
          <w:szCs w:val="20"/>
          <w:vertAlign w:val="superscript"/>
        </w:rPr>
        <w:t>]</w:t>
      </w:r>
      <w:r w:rsidR="004D2B7B">
        <w:rPr>
          <w:sz w:val="20"/>
          <w:szCs w:val="20"/>
          <w:vertAlign w:val="superscript"/>
        </w:rPr>
        <w:t xml:space="preserve">  </w:t>
      </w:r>
      <w:r w:rsidR="004D2B7B">
        <w:rPr>
          <w:sz w:val="20"/>
          <w:szCs w:val="20"/>
        </w:rPr>
        <w:t>Melvin</w:t>
      </w:r>
      <w:proofErr w:type="gramEnd"/>
      <w:r w:rsidR="004D2B7B">
        <w:rPr>
          <w:sz w:val="20"/>
          <w:szCs w:val="20"/>
        </w:rPr>
        <w:t xml:space="preserve"> and Bren Simon Comprehensive Cancer Center, 535 Barnhill Drive, Indianapolis, IN 46202, USA</w:t>
      </w:r>
    </w:p>
    <w:p w14:paraId="37D3AFBA" w14:textId="77777777" w:rsidR="00322548" w:rsidRDefault="00322548">
      <w:pPr>
        <w:rPr>
          <w:sz w:val="20"/>
          <w:szCs w:val="20"/>
        </w:rPr>
      </w:pPr>
    </w:p>
    <w:p w14:paraId="4F094A03" w14:textId="77777777" w:rsidR="00322548" w:rsidRDefault="00322548">
      <w:pPr>
        <w:spacing w:after="200"/>
        <w:rPr>
          <w:sz w:val="20"/>
          <w:szCs w:val="20"/>
        </w:rPr>
      </w:pPr>
    </w:p>
    <w:p w14:paraId="32692DF5" w14:textId="77777777" w:rsidR="00322548" w:rsidRDefault="00322548">
      <w:pPr>
        <w:spacing w:after="200"/>
        <w:rPr>
          <w:sz w:val="20"/>
          <w:szCs w:val="20"/>
        </w:rPr>
      </w:pPr>
    </w:p>
    <w:p w14:paraId="0814D3D1" w14:textId="77777777" w:rsidR="00322548" w:rsidRDefault="004D2B7B">
      <w:pPr>
        <w:spacing w:after="200"/>
        <w:rPr>
          <w:sz w:val="20"/>
          <w:szCs w:val="20"/>
        </w:rPr>
      </w:pPr>
      <w:r>
        <w:rPr>
          <w:sz w:val="20"/>
          <w:szCs w:val="20"/>
        </w:rPr>
        <w:t xml:space="preserve">* To whom correspondence should be addressed. Tel: 317-274-9602; Email: </w:t>
      </w:r>
      <w:hyperlink r:id="rId4">
        <w:r w:rsidR="00322548">
          <w:rPr>
            <w:color w:val="0000FF"/>
            <w:sz w:val="20"/>
            <w:szCs w:val="20"/>
            <w:u w:val="single"/>
          </w:rPr>
          <w:t>wz15@iu.edu</w:t>
        </w:r>
      </w:hyperlink>
    </w:p>
    <w:p w14:paraId="220EBB2A" w14:textId="77777777" w:rsidR="00322548" w:rsidRDefault="00322548">
      <w:pPr>
        <w:spacing w:after="200"/>
        <w:rPr>
          <w:sz w:val="20"/>
          <w:szCs w:val="20"/>
        </w:rPr>
      </w:pPr>
    </w:p>
    <w:p w14:paraId="2A2F039D" w14:textId="77777777" w:rsidR="00322548" w:rsidRDefault="004D2B7B">
      <w:pPr>
        <w:spacing w:line="240" w:lineRule="auto"/>
        <w:rPr>
          <w:b/>
          <w:bCs/>
          <w:sz w:val="20"/>
          <w:szCs w:val="20"/>
        </w:rPr>
      </w:pPr>
      <w:r>
        <w:br w:type="page"/>
      </w:r>
    </w:p>
    <w:p w14:paraId="68AA7134" w14:textId="77777777" w:rsidR="00322548" w:rsidRDefault="004D2B7B">
      <w:pPr>
        <w:spacing w:after="200" w:line="360" w:lineRule="auto"/>
        <w:rPr>
          <w:b/>
          <w:bCs/>
          <w:sz w:val="20"/>
          <w:szCs w:val="20"/>
        </w:rPr>
      </w:pPr>
      <w:r>
        <w:rPr>
          <w:b/>
          <w:bCs/>
          <w:sz w:val="20"/>
          <w:szCs w:val="20"/>
        </w:rPr>
        <w:lastRenderedPageBreak/>
        <w:t xml:space="preserve">ABSTRACT </w:t>
      </w:r>
    </w:p>
    <w:p w14:paraId="6DC5C98E" w14:textId="77777777" w:rsidR="00322548" w:rsidRDefault="004D2B7B">
      <w:pPr>
        <w:spacing w:after="200" w:line="360" w:lineRule="auto"/>
        <w:rPr>
          <w:sz w:val="20"/>
          <w:szCs w:val="20"/>
        </w:rPr>
      </w:pPr>
      <w:r>
        <w:rPr>
          <w:sz w:val="20"/>
          <w:szCs w:val="20"/>
        </w:rPr>
        <w:t>Triple-negative breast cancer (TNBC) remains a major therapeutic challenge due to the lack of effective molecular targets and the dose-limiting off-target toxicity of conventional chemotherapy. Here, we design and construct a mirror-image DNA (L-DNA) nanostructure functionalized with an epithelial cell adhesion molecule (EpCAM)-specific aptamer for targeted delivery of doxorubicin (DOX) to TNBC cells. The L-DNA nanostructure retains thermodynamic properties comparable to natural D-DNA while exhibiting subst</w:t>
      </w:r>
      <w:r>
        <w:rPr>
          <w:sz w:val="20"/>
          <w:szCs w:val="20"/>
        </w:rPr>
        <w:t xml:space="preserve">antially enhanced resistance to nuclease and serum-mediated degradation due to its mirror-image chirality. Thermal melting and serum stability assays confirmed superior structural stability of the L-DNA nanostructure compared to D-DNA counterparts. In vitro cytotoxicity studies demonstrated that the EpCAM-targeted L-DNA nanostructure has the potential to selectively inhibit the growth of EpCAM-positive TNBC cells while reducing cytotoxicity in normal cells. These findings demonstrate that combining aptamer </w:t>
      </w:r>
      <w:r>
        <w:rPr>
          <w:sz w:val="20"/>
          <w:szCs w:val="20"/>
        </w:rPr>
        <w:t>targeting with mirror-image DNA nanotechnology provides a stable and selective nanoplatform for chemotherapeutic delivery, which can potentially improve the precision and therapeutic efficacy of treatment for aggressive breast cancers.</w:t>
      </w:r>
    </w:p>
    <w:p w14:paraId="57D23B7B" w14:textId="77777777" w:rsidR="00322548" w:rsidRDefault="004D2B7B">
      <w:pPr>
        <w:spacing w:after="200" w:line="360" w:lineRule="auto"/>
        <w:rPr>
          <w:sz w:val="20"/>
          <w:szCs w:val="20"/>
        </w:rPr>
      </w:pPr>
      <w:r>
        <w:rPr>
          <w:sz w:val="20"/>
          <w:szCs w:val="20"/>
        </w:rPr>
        <w:t>Keywords: mirror-image DNA, EpCAM aptamer, doxorubicin</w:t>
      </w:r>
    </w:p>
    <w:p w14:paraId="3740B0EE" w14:textId="77777777" w:rsidR="00322548" w:rsidRDefault="004D2B7B">
      <w:pPr>
        <w:spacing w:after="200" w:line="360" w:lineRule="auto"/>
        <w:rPr>
          <w:b/>
          <w:bCs/>
          <w:sz w:val="20"/>
          <w:szCs w:val="20"/>
        </w:rPr>
      </w:pPr>
      <w:r>
        <w:rPr>
          <w:b/>
          <w:bCs/>
          <w:sz w:val="20"/>
          <w:szCs w:val="20"/>
        </w:rPr>
        <w:t>INTRODUCTION</w:t>
      </w:r>
    </w:p>
    <w:p w14:paraId="47D06CBB" w14:textId="77777777" w:rsidR="00322548" w:rsidRDefault="004D2B7B">
      <w:pPr>
        <w:spacing w:after="200" w:line="360" w:lineRule="auto"/>
        <w:rPr>
          <w:sz w:val="20"/>
          <w:szCs w:val="20"/>
        </w:rPr>
      </w:pPr>
      <w:r>
        <w:rPr>
          <w:sz w:val="20"/>
          <w:szCs w:val="20"/>
        </w:rPr>
        <w:t>Triple-negative breast cancer (TNBC) is a highly aggressive subtype of breast cancer characterized by the absence of the estrogen receptor (ER), progesterone receptor (PR), and HER2 expression. TNBC accounts for approximately 10 - 20% of all breast cancer cases and is associated with the poorest prognosis compared with hormone receptor–positive and HER2-positive subtypes</w:t>
      </w:r>
      <w:r>
        <w:rPr>
          <w:sz w:val="20"/>
          <w:szCs w:val="20"/>
          <w:vertAlign w:val="superscript"/>
        </w:rPr>
        <w:t>1</w:t>
      </w:r>
      <w:r>
        <w:rPr>
          <w:sz w:val="20"/>
          <w:szCs w:val="20"/>
        </w:rPr>
        <w:t>. Globally, breast cancer causes nearly half a million deaths each year, of which an estimated 150,000 are attributable to TNBC, reflecting the lack of effective targeted therapies for this disease</w:t>
      </w:r>
      <w:r>
        <w:rPr>
          <w:sz w:val="20"/>
          <w:szCs w:val="20"/>
          <w:vertAlign w:val="superscript"/>
        </w:rPr>
        <w:t>1</w:t>
      </w:r>
      <w:r>
        <w:rPr>
          <w:sz w:val="20"/>
          <w:szCs w:val="20"/>
        </w:rPr>
        <w:t>.</w:t>
      </w:r>
      <w:r>
        <w:rPr>
          <w:rFonts w:ascii="Calibri" w:eastAsia="Calibri" w:hAnsi="Calibri" w:cs="Calibri"/>
        </w:rPr>
        <w:t xml:space="preserve"> </w:t>
      </w:r>
      <w:r>
        <w:rPr>
          <w:sz w:val="20"/>
          <w:szCs w:val="20"/>
        </w:rPr>
        <w:t xml:space="preserve">Doxorubicin (DOX) remains one of the </w:t>
      </w:r>
      <w:proofErr w:type="gramStart"/>
      <w:r>
        <w:rPr>
          <w:sz w:val="20"/>
          <w:szCs w:val="20"/>
        </w:rPr>
        <w:t>most commonly used</w:t>
      </w:r>
      <w:proofErr w:type="gramEnd"/>
      <w:r>
        <w:rPr>
          <w:sz w:val="20"/>
          <w:szCs w:val="20"/>
        </w:rPr>
        <w:t xml:space="preserve"> chemotherapeutic agents for TNBC. However, its clinical application is limited by poor tumor selectivity, systemic toxicity, and cumulative cardiotoxicity</w:t>
      </w:r>
      <w:r>
        <w:rPr>
          <w:sz w:val="20"/>
          <w:szCs w:val="20"/>
          <w:vertAlign w:val="superscript"/>
        </w:rPr>
        <w:t>2</w:t>
      </w:r>
      <w:r>
        <w:rPr>
          <w:sz w:val="20"/>
          <w:szCs w:val="20"/>
        </w:rPr>
        <w:t>. Consequently, developing more precise drug-delivery systems has become an important goal in cancer treatment.</w:t>
      </w:r>
    </w:p>
    <w:p w14:paraId="21E82CB5" w14:textId="77777777" w:rsidR="00322548" w:rsidRDefault="004D2B7B">
      <w:pPr>
        <w:spacing w:after="200" w:line="360" w:lineRule="auto"/>
        <w:rPr>
          <w:sz w:val="20"/>
          <w:szCs w:val="20"/>
        </w:rPr>
      </w:pPr>
      <w:r>
        <w:rPr>
          <w:sz w:val="20"/>
          <w:szCs w:val="20"/>
        </w:rPr>
        <w:t>Conventional chemotherapy is frequently limited by insufficient tumor selectivity and severe systemic toxicity. To address these challenges, a variety of nanoscale delivery platforms have been explored to improve drug accumulation in tumors while minimizing damage to healthy tissues</w:t>
      </w:r>
      <w:r>
        <w:rPr>
          <w:sz w:val="20"/>
          <w:szCs w:val="20"/>
          <w:vertAlign w:val="superscript"/>
        </w:rPr>
        <w:t>3</w:t>
      </w:r>
      <w:r>
        <w:rPr>
          <w:sz w:val="20"/>
          <w:szCs w:val="20"/>
        </w:rPr>
        <w:t>. Existing systems such as lipid nanoparticles, viral carriers, and synthetic polymers have shown promise in cancer therapy; however, their broader application is often constrained by issues including immunogenic responses, formulation complexity, and limited cargo capacity.  Among emerging nanomaterials, nucleic acid-based nanostructures have gained increasing interest because they can be precisely programmed through sequence-directed self-assembly</w:t>
      </w:r>
      <w:r>
        <w:rPr>
          <w:sz w:val="20"/>
          <w:szCs w:val="20"/>
          <w:vertAlign w:val="superscript"/>
        </w:rPr>
        <w:t>4-6</w:t>
      </w:r>
      <w:r>
        <w:rPr>
          <w:sz w:val="20"/>
          <w:szCs w:val="20"/>
        </w:rPr>
        <w:t xml:space="preserve">. The predictable base-pairing properties of nucleic acids enable the construction of structurally defined architectures with tunable sizes, shapes, and functionalities. </w:t>
      </w:r>
      <w:proofErr w:type="gramStart"/>
      <w:r>
        <w:rPr>
          <w:sz w:val="20"/>
          <w:szCs w:val="20"/>
        </w:rPr>
        <w:t>In particular, nucleic</w:t>
      </w:r>
      <w:proofErr w:type="gramEnd"/>
      <w:r>
        <w:rPr>
          <w:sz w:val="20"/>
          <w:szCs w:val="20"/>
        </w:rPr>
        <w:t xml:space="preserve"> acid nanostructures have been widely investigated as delivery vehicles due to their </w:t>
      </w:r>
      <w:r>
        <w:rPr>
          <w:sz w:val="20"/>
          <w:szCs w:val="20"/>
        </w:rPr>
        <w:lastRenderedPageBreak/>
        <w:t>biocompatibility, structural flexibility, and ability to incorporate therapeutic modules into a single scaffold</w:t>
      </w:r>
      <w:r>
        <w:rPr>
          <w:sz w:val="20"/>
          <w:szCs w:val="20"/>
          <w:vertAlign w:val="superscript"/>
        </w:rPr>
        <w:t>7</w:t>
      </w:r>
      <w:r>
        <w:rPr>
          <w:sz w:val="20"/>
          <w:szCs w:val="20"/>
        </w:rPr>
        <w:t>. These nanoscale assemblies can also facilitate cellular uptake and molecular recognition, making them attractive candidates for precision drug delivery.</w:t>
      </w:r>
    </w:p>
    <w:p w14:paraId="6307EF5F" w14:textId="77777777" w:rsidR="00322548" w:rsidRDefault="004D2B7B">
      <w:pPr>
        <w:spacing w:after="200" w:line="360" w:lineRule="auto"/>
        <w:rPr>
          <w:sz w:val="20"/>
          <w:szCs w:val="20"/>
        </w:rPr>
      </w:pPr>
      <w:r>
        <w:rPr>
          <w:sz w:val="20"/>
          <w:szCs w:val="20"/>
        </w:rPr>
        <w:t>Despite their advantages, the clinical translation of nucleic acid nanotechnology remains challenging because native nucleic acid molecules are intrinsically unstable under physiological conditions</w:t>
      </w:r>
      <w:r>
        <w:rPr>
          <w:sz w:val="20"/>
          <w:szCs w:val="20"/>
          <w:vertAlign w:val="superscript"/>
        </w:rPr>
        <w:t>8</w:t>
      </w:r>
      <w:r>
        <w:rPr>
          <w:sz w:val="20"/>
          <w:szCs w:val="20"/>
        </w:rPr>
        <w:t>. Nucleases are highly abundant in serum and tissues, leading to rapid degradation of nucleic acid nanoparticles and short in vivo persistence</w:t>
      </w:r>
      <w:r>
        <w:rPr>
          <w:sz w:val="20"/>
          <w:szCs w:val="20"/>
          <w:vertAlign w:val="superscript"/>
        </w:rPr>
        <w:t>9, 10</w:t>
      </w:r>
      <w:r>
        <w:rPr>
          <w:sz w:val="20"/>
          <w:szCs w:val="20"/>
        </w:rPr>
        <w:t>. Therefore, alternative nucleic acid systems with inherently improved biostability are needed for the development of more durable therapeutic nanostructures.</w:t>
      </w:r>
    </w:p>
    <w:p w14:paraId="427704A0" w14:textId="77777777" w:rsidR="00322548" w:rsidRDefault="004D2B7B">
      <w:pPr>
        <w:spacing w:after="200" w:line="360" w:lineRule="auto"/>
        <w:rPr>
          <w:sz w:val="20"/>
          <w:szCs w:val="20"/>
        </w:rPr>
      </w:pPr>
      <w:r>
        <w:rPr>
          <w:sz w:val="20"/>
          <w:szCs w:val="20"/>
        </w:rPr>
        <w:t>Mirror-image nucleic acids represent one such strategy. L-nucleic acids are composed of enantiomeric nucleotides with opposite chirality to naturally occurring D-nucleic acids</w:t>
      </w:r>
      <w:r>
        <w:rPr>
          <w:sz w:val="20"/>
          <w:szCs w:val="20"/>
          <w:vertAlign w:val="superscript"/>
        </w:rPr>
        <w:t>11</w:t>
      </w:r>
      <w:r>
        <w:rPr>
          <w:sz w:val="20"/>
          <w:szCs w:val="20"/>
        </w:rPr>
        <w:t xml:space="preserve"> as depicted in Figure 1A. Because naturally evolved nucleases cannot efficiently recognize these mirror-image structures, L-RNA and L-DNA exhibit remarkable resistance to enzymatic degradation</w:t>
      </w:r>
      <w:r>
        <w:rPr>
          <w:sz w:val="20"/>
          <w:szCs w:val="20"/>
          <w:vertAlign w:val="superscript"/>
        </w:rPr>
        <w:t>12, 13</w:t>
      </w:r>
      <w:r>
        <w:rPr>
          <w:sz w:val="20"/>
          <w:szCs w:val="20"/>
        </w:rPr>
        <w:t>. Importantly, mirror-image nucleic acids retain the ability to form predictable secondary and tertiary structures and can be further functionalized through chemical modification</w:t>
      </w:r>
      <w:r>
        <w:rPr>
          <w:sz w:val="20"/>
          <w:szCs w:val="20"/>
          <w:vertAlign w:val="superscript"/>
        </w:rPr>
        <w:t>14-17</w:t>
      </w:r>
      <w:r>
        <w:rPr>
          <w:sz w:val="20"/>
          <w:szCs w:val="20"/>
        </w:rPr>
        <w:t xml:space="preserve">. Previous studies have demonstrated the utility of L-nucleic acids in a range of biomedical applications, including </w:t>
      </w:r>
      <w:proofErr w:type="spellStart"/>
      <w:r>
        <w:rPr>
          <w:sz w:val="20"/>
          <w:szCs w:val="20"/>
        </w:rPr>
        <w:t>Spiegelmer</w:t>
      </w:r>
      <w:proofErr w:type="spellEnd"/>
      <w:r>
        <w:rPr>
          <w:sz w:val="20"/>
          <w:szCs w:val="20"/>
        </w:rPr>
        <w:t>-based targeting ligands</w:t>
      </w:r>
      <w:r>
        <w:rPr>
          <w:sz w:val="20"/>
          <w:szCs w:val="20"/>
          <w:vertAlign w:val="superscript"/>
        </w:rPr>
        <w:t>18-21</w:t>
      </w:r>
      <w:r>
        <w:rPr>
          <w:sz w:val="20"/>
          <w:szCs w:val="20"/>
        </w:rPr>
        <w:t>, therapeutic L-nucleosides</w:t>
      </w:r>
      <w:r>
        <w:rPr>
          <w:sz w:val="20"/>
          <w:szCs w:val="20"/>
          <w:vertAlign w:val="superscript"/>
        </w:rPr>
        <w:t>13</w:t>
      </w:r>
      <w:r>
        <w:rPr>
          <w:sz w:val="20"/>
          <w:szCs w:val="20"/>
        </w:rPr>
        <w:t>, and mirror-image DNA nanostructures for cargo delivery</w:t>
      </w:r>
      <w:r>
        <w:rPr>
          <w:sz w:val="20"/>
          <w:szCs w:val="20"/>
          <w:vertAlign w:val="superscript"/>
        </w:rPr>
        <w:t>22, 23</w:t>
      </w:r>
      <w:r>
        <w:rPr>
          <w:sz w:val="20"/>
          <w:szCs w:val="20"/>
        </w:rPr>
        <w:t>. More recently, structurally sophisticated L-DNA materials, such as pH-responsive i-motif assemblies</w:t>
      </w:r>
      <w:r>
        <w:rPr>
          <w:sz w:val="20"/>
          <w:szCs w:val="20"/>
          <w:vertAlign w:val="superscript"/>
        </w:rPr>
        <w:t>24</w:t>
      </w:r>
      <w:r>
        <w:rPr>
          <w:sz w:val="20"/>
          <w:szCs w:val="20"/>
        </w:rPr>
        <w:t xml:space="preserve"> and biostable DNA hydrogels</w:t>
      </w:r>
      <w:r>
        <w:rPr>
          <w:sz w:val="20"/>
          <w:szCs w:val="20"/>
          <w:vertAlign w:val="superscript"/>
        </w:rPr>
        <w:t>25</w:t>
      </w:r>
      <w:r>
        <w:rPr>
          <w:sz w:val="20"/>
          <w:szCs w:val="20"/>
        </w:rPr>
        <w:t>, have further illustrated the versatility of mirror-image nucleic acid engineering. These developments suggest that L-nucleic acid nanotechnology may provide a powerful foundation for constructing stable and functional delivery systems for therapeutic applications.</w:t>
      </w:r>
    </w:p>
    <w:p w14:paraId="6AF9444A" w14:textId="77777777" w:rsidR="00322548" w:rsidRDefault="004D2B7B">
      <w:pPr>
        <w:spacing w:after="200" w:line="360" w:lineRule="auto"/>
        <w:rPr>
          <w:sz w:val="20"/>
          <w:szCs w:val="20"/>
        </w:rPr>
      </w:pPr>
      <w:r>
        <w:rPr>
          <w:sz w:val="20"/>
          <w:szCs w:val="20"/>
        </w:rPr>
        <w:t>On the other hand, the epithelial cell adhesion molecule EpCAM (CD326) is a transmembrane glycoprotein involved in epithelial cell adhesion and intracellular signalling</w:t>
      </w:r>
      <w:r>
        <w:rPr>
          <w:sz w:val="20"/>
          <w:szCs w:val="20"/>
          <w:vertAlign w:val="superscript"/>
        </w:rPr>
        <w:t>26</w:t>
      </w:r>
      <w:r>
        <w:rPr>
          <w:sz w:val="20"/>
          <w:szCs w:val="20"/>
        </w:rPr>
        <w:t>. Although EpCAM is expressed at low levels in normal epithelial tissues, it is overexpressed in many solid tumors, including a substantial proportion of TNBC cases</w:t>
      </w:r>
      <w:r>
        <w:rPr>
          <w:sz w:val="20"/>
          <w:szCs w:val="20"/>
          <w:vertAlign w:val="superscript"/>
        </w:rPr>
        <w:t>27</w:t>
      </w:r>
      <w:r>
        <w:rPr>
          <w:sz w:val="20"/>
          <w:szCs w:val="20"/>
        </w:rPr>
        <w:t>. EpCAM overexpression in TNBC has been associated with poor prognosis, lymph node metastasis, and decreased survival, making it an attractive therapeutic target</w:t>
      </w:r>
      <w:r>
        <w:rPr>
          <w:sz w:val="20"/>
          <w:szCs w:val="20"/>
          <w:vertAlign w:val="superscript"/>
        </w:rPr>
        <w:t>27</w:t>
      </w:r>
      <w:r>
        <w:rPr>
          <w:sz w:val="20"/>
          <w:szCs w:val="20"/>
        </w:rPr>
        <w:t xml:space="preserve">. Therefore, we </w:t>
      </w:r>
      <w:proofErr w:type="gramStart"/>
      <w:r>
        <w:rPr>
          <w:sz w:val="20"/>
          <w:szCs w:val="20"/>
        </w:rPr>
        <w:t>decide</w:t>
      </w:r>
      <w:proofErr w:type="gramEnd"/>
      <w:r>
        <w:rPr>
          <w:sz w:val="20"/>
          <w:szCs w:val="20"/>
        </w:rPr>
        <w:t xml:space="preserve"> to conjugate an EpCAM targeting aptamer to our L-DNA molecule for the enhanced specifical drug delivery. Aptamers are short single stranded DNA or RNA molecules that are selected through systematic evolution of ligands by exponential enrichment (SELEX) and have emerged as powerful targeting ligands due to their high specificity, small molecular size, and low immunogenicity</w:t>
      </w:r>
      <w:r>
        <w:rPr>
          <w:sz w:val="20"/>
          <w:szCs w:val="20"/>
          <w:vertAlign w:val="superscript"/>
        </w:rPr>
        <w:t>28, 29</w:t>
      </w:r>
      <w:r>
        <w:rPr>
          <w:sz w:val="20"/>
          <w:szCs w:val="20"/>
        </w:rPr>
        <w:t>. Compared with monoclonal antibodies, aptamers provide improved tissue penetration and lower production variability. Aptamers targeting EpCAM have been developed and shown to bind selectively to EpCAM-positive cancer cells, enabling targeted therapeutic delivery</w:t>
      </w:r>
      <w:r>
        <w:rPr>
          <w:sz w:val="20"/>
          <w:szCs w:val="20"/>
          <w:vertAlign w:val="superscript"/>
        </w:rPr>
        <w:t>30</w:t>
      </w:r>
      <w:r>
        <w:rPr>
          <w:sz w:val="20"/>
          <w:szCs w:val="20"/>
        </w:rPr>
        <w:t xml:space="preserve">. </w:t>
      </w:r>
    </w:p>
    <w:p w14:paraId="77BDC6BC" w14:textId="77777777" w:rsidR="00322548" w:rsidRDefault="00322548">
      <w:pPr>
        <w:spacing w:after="200" w:line="360" w:lineRule="auto"/>
        <w:rPr>
          <w:b/>
          <w:bCs/>
          <w:sz w:val="20"/>
          <w:szCs w:val="20"/>
        </w:rPr>
      </w:pPr>
    </w:p>
    <w:p w14:paraId="467E243D" w14:textId="77777777" w:rsidR="00322548" w:rsidRDefault="00322548">
      <w:pPr>
        <w:spacing w:after="200" w:line="360" w:lineRule="auto"/>
        <w:rPr>
          <w:b/>
          <w:bCs/>
          <w:sz w:val="20"/>
          <w:szCs w:val="20"/>
        </w:rPr>
      </w:pPr>
    </w:p>
    <w:p w14:paraId="7041216F" w14:textId="77777777" w:rsidR="00322548" w:rsidRDefault="004D2B7B">
      <w:pPr>
        <w:spacing w:after="200" w:line="360" w:lineRule="auto"/>
        <w:rPr>
          <w:b/>
          <w:bCs/>
          <w:sz w:val="20"/>
          <w:szCs w:val="20"/>
        </w:rPr>
      </w:pPr>
      <w:r>
        <w:rPr>
          <w:b/>
          <w:bCs/>
          <w:sz w:val="20"/>
          <w:szCs w:val="20"/>
        </w:rPr>
        <w:lastRenderedPageBreak/>
        <w:t>MATERIALS AND METHODS</w:t>
      </w:r>
    </w:p>
    <w:p w14:paraId="0DAC8109" w14:textId="77777777" w:rsidR="00322548" w:rsidRDefault="004D2B7B">
      <w:pPr>
        <w:spacing w:after="200" w:line="360" w:lineRule="auto"/>
        <w:rPr>
          <w:b/>
          <w:bCs/>
          <w:sz w:val="20"/>
          <w:szCs w:val="20"/>
        </w:rPr>
      </w:pPr>
      <w:r>
        <w:rPr>
          <w:b/>
          <w:bCs/>
          <w:sz w:val="20"/>
          <w:szCs w:val="20"/>
        </w:rPr>
        <w:t>Preparation of EpCAM Aptamer, EpCAM-D-DNA and EpCAM-L-DNA Oligonucleotides.</w:t>
      </w:r>
    </w:p>
    <w:p w14:paraId="2DDEE45A" w14:textId="77777777" w:rsidR="00322548" w:rsidRDefault="004D2B7B">
      <w:pPr>
        <w:spacing w:after="200" w:line="360" w:lineRule="auto"/>
        <w:rPr>
          <w:sz w:val="20"/>
          <w:szCs w:val="20"/>
        </w:rPr>
      </w:pPr>
      <w:r>
        <w:rPr>
          <w:sz w:val="20"/>
          <w:szCs w:val="20"/>
        </w:rPr>
        <w:t xml:space="preserve">The L-DNA containing oligonucleotides used for biochemical and cellular studies were synthesized through solid-phase synthesis using ABI 394 DNA/RNA synthesizer. </w:t>
      </w:r>
      <w:proofErr w:type="spellStart"/>
      <w:r>
        <w:rPr>
          <w:sz w:val="20"/>
          <w:szCs w:val="20"/>
        </w:rPr>
        <w:t>Phosphoramidites</w:t>
      </w:r>
      <w:proofErr w:type="spellEnd"/>
      <w:r>
        <w:rPr>
          <w:sz w:val="20"/>
          <w:szCs w:val="20"/>
        </w:rPr>
        <w:t xml:space="preserve"> were purchased from </w:t>
      </w:r>
      <w:proofErr w:type="spellStart"/>
      <w:r>
        <w:rPr>
          <w:sz w:val="20"/>
          <w:szCs w:val="20"/>
        </w:rPr>
        <w:t>Chemgenes</w:t>
      </w:r>
      <w:proofErr w:type="spellEnd"/>
      <w:r>
        <w:rPr>
          <w:sz w:val="20"/>
          <w:szCs w:val="20"/>
        </w:rPr>
        <w:t xml:space="preserve"> or Glen Research, Inc. The </w:t>
      </w:r>
      <w:proofErr w:type="spellStart"/>
      <w:r>
        <w:rPr>
          <w:sz w:val="20"/>
          <w:szCs w:val="20"/>
        </w:rPr>
        <w:t>DMTr</w:t>
      </w:r>
      <w:proofErr w:type="spellEnd"/>
      <w:r>
        <w:rPr>
          <w:sz w:val="20"/>
          <w:szCs w:val="20"/>
        </w:rPr>
        <w:t>-on in-house synthesized oligonucleotides were deprotected by AMA (1:1 mixture of ammonium hydroxide and methyl amine solution) for 15 min at 65°C, followed by the Et</w:t>
      </w:r>
      <w:r>
        <w:rPr>
          <w:sz w:val="20"/>
          <w:szCs w:val="20"/>
          <w:vertAlign w:val="subscript"/>
        </w:rPr>
        <w:t>3</w:t>
      </w:r>
      <w:r>
        <w:rPr>
          <w:sz w:val="20"/>
          <w:szCs w:val="20"/>
        </w:rPr>
        <w:t>N•3HF treatment; and purified by denaturing PAGE gel electrophoresis. Purified oligonucleotides were subsequently desalted and re-concentrated to the proper concentrations for nanostructure construction and biochemical experiments.</w:t>
      </w:r>
    </w:p>
    <w:p w14:paraId="5AEB1F5E" w14:textId="77777777" w:rsidR="00322548" w:rsidRDefault="004D2B7B">
      <w:pPr>
        <w:spacing w:after="200" w:line="360" w:lineRule="auto"/>
        <w:rPr>
          <w:sz w:val="20"/>
          <w:szCs w:val="20"/>
        </w:rPr>
      </w:pPr>
      <w:r>
        <w:rPr>
          <w:sz w:val="20"/>
          <w:szCs w:val="20"/>
        </w:rPr>
        <w:t xml:space="preserve">All the sequence information and the MS characterization are listed in Supporting Information, with the </w:t>
      </w:r>
      <w:proofErr w:type="gramStart"/>
      <w:r>
        <w:rPr>
          <w:sz w:val="20"/>
          <w:szCs w:val="20"/>
        </w:rPr>
        <w:t>designed structure</w:t>
      </w:r>
      <w:proofErr w:type="gramEnd"/>
      <w:r>
        <w:rPr>
          <w:sz w:val="20"/>
          <w:szCs w:val="20"/>
        </w:rPr>
        <w:t xml:space="preserve"> </w:t>
      </w:r>
      <w:proofErr w:type="gramStart"/>
      <w:r>
        <w:rPr>
          <w:sz w:val="20"/>
          <w:szCs w:val="20"/>
        </w:rPr>
        <w:t>of</w:t>
      </w:r>
      <w:proofErr w:type="gramEnd"/>
      <w:r>
        <w:rPr>
          <w:sz w:val="20"/>
          <w:szCs w:val="20"/>
        </w:rPr>
        <w:t xml:space="preserve"> </w:t>
      </w:r>
      <w:proofErr w:type="gramStart"/>
      <w:r>
        <w:rPr>
          <w:sz w:val="20"/>
          <w:szCs w:val="20"/>
        </w:rPr>
        <w:t>the EpCAM</w:t>
      </w:r>
      <w:proofErr w:type="gramEnd"/>
      <w:r>
        <w:rPr>
          <w:sz w:val="20"/>
          <w:szCs w:val="20"/>
        </w:rPr>
        <w:t>-targeted L-DNA nanostructure illustrated in Figure 1B. All the nanostructures were self-assembled by mixing the different strands at equimolar concentrations in TMS buffer (25 mM Tris-HCl pH 7.5, 10 mM MgCl</w:t>
      </w:r>
      <w:r>
        <w:rPr>
          <w:sz w:val="20"/>
          <w:szCs w:val="20"/>
          <w:vertAlign w:val="subscript"/>
        </w:rPr>
        <w:t>2</w:t>
      </w:r>
      <w:r>
        <w:rPr>
          <w:sz w:val="20"/>
          <w:szCs w:val="20"/>
        </w:rPr>
        <w:t>, 50 mM NaCl) or PBS buffer</w:t>
      </w:r>
      <w:r>
        <w:rPr>
          <w:rFonts w:ascii="Calibri" w:eastAsia="Calibri" w:hAnsi="Calibri" w:cs="Calibri"/>
        </w:rPr>
        <w:t xml:space="preserve"> (</w:t>
      </w:r>
      <w:r>
        <w:rPr>
          <w:sz w:val="20"/>
          <w:szCs w:val="20"/>
        </w:rPr>
        <w:t>137 mM NaCl, 2.7 mM KCl, 10 mM Na</w:t>
      </w:r>
      <w:r>
        <w:rPr>
          <w:sz w:val="20"/>
          <w:szCs w:val="20"/>
          <w:vertAlign w:val="subscript"/>
        </w:rPr>
        <w:t>2</w:t>
      </w:r>
      <w:r>
        <w:rPr>
          <w:sz w:val="20"/>
          <w:szCs w:val="20"/>
        </w:rPr>
        <w:t>HPO</w:t>
      </w:r>
      <w:r>
        <w:rPr>
          <w:sz w:val="20"/>
          <w:szCs w:val="20"/>
          <w:vertAlign w:val="subscript"/>
        </w:rPr>
        <w:t>4</w:t>
      </w:r>
      <w:r>
        <w:rPr>
          <w:sz w:val="20"/>
          <w:szCs w:val="20"/>
        </w:rPr>
        <w:t>, 2 mM KH</w:t>
      </w:r>
      <w:r>
        <w:rPr>
          <w:sz w:val="20"/>
          <w:szCs w:val="20"/>
          <w:vertAlign w:val="subscript"/>
        </w:rPr>
        <w:t>2</w:t>
      </w:r>
      <w:r>
        <w:rPr>
          <w:sz w:val="20"/>
          <w:szCs w:val="20"/>
        </w:rPr>
        <w:t>PO</w:t>
      </w:r>
      <w:r>
        <w:rPr>
          <w:sz w:val="20"/>
          <w:szCs w:val="20"/>
          <w:vertAlign w:val="subscript"/>
        </w:rPr>
        <w:t>4</w:t>
      </w:r>
      <w:r>
        <w:rPr>
          <w:sz w:val="20"/>
          <w:szCs w:val="20"/>
        </w:rPr>
        <w:t>, pH 7.4), heated to 90</w:t>
      </w:r>
      <w:r>
        <w:rPr>
          <w:sz w:val="20"/>
          <w:szCs w:val="20"/>
          <w:vertAlign w:val="superscript"/>
        </w:rPr>
        <w:t>o</w:t>
      </w:r>
      <w:r>
        <w:rPr>
          <w:sz w:val="20"/>
          <w:szCs w:val="20"/>
        </w:rPr>
        <w:t>C for 2 min, and gradually cooled to 23</w:t>
      </w:r>
      <w:r>
        <w:rPr>
          <w:sz w:val="20"/>
          <w:szCs w:val="20"/>
          <w:vertAlign w:val="superscript"/>
        </w:rPr>
        <w:t xml:space="preserve"> </w:t>
      </w:r>
      <w:proofErr w:type="spellStart"/>
      <w:r>
        <w:rPr>
          <w:sz w:val="20"/>
          <w:szCs w:val="20"/>
          <w:vertAlign w:val="superscript"/>
        </w:rPr>
        <w:t>o</w:t>
      </w:r>
      <w:r>
        <w:rPr>
          <w:sz w:val="20"/>
          <w:szCs w:val="20"/>
        </w:rPr>
        <w:t>C.</w:t>
      </w:r>
      <w:proofErr w:type="spellEnd"/>
    </w:p>
    <w:p w14:paraId="091F4EB7" w14:textId="77777777" w:rsidR="00322548" w:rsidRDefault="004D2B7B">
      <w:pPr>
        <w:spacing w:after="200" w:line="360" w:lineRule="auto"/>
        <w:rPr>
          <w:sz w:val="20"/>
          <w:szCs w:val="20"/>
        </w:rPr>
      </w:pPr>
      <w:r>
        <w:rPr>
          <w:b/>
          <w:bCs/>
          <w:sz w:val="20"/>
          <w:szCs w:val="20"/>
        </w:rPr>
        <w:t>L-DNA enzymatic stability assays</w:t>
      </w:r>
      <w:r>
        <w:rPr>
          <w:sz w:val="20"/>
          <w:szCs w:val="20"/>
        </w:rPr>
        <w:t xml:space="preserve"> </w:t>
      </w:r>
    </w:p>
    <w:p w14:paraId="111B75BC" w14:textId="77777777" w:rsidR="00322548" w:rsidRDefault="004D2B7B">
      <w:pPr>
        <w:spacing w:after="200" w:line="360" w:lineRule="auto"/>
        <w:rPr>
          <w:sz w:val="20"/>
          <w:szCs w:val="20"/>
        </w:rPr>
      </w:pPr>
      <w:r>
        <w:rPr>
          <w:sz w:val="20"/>
          <w:szCs w:val="20"/>
        </w:rPr>
        <w:t>Both L- and D-nucleic acids were incubated in 25% phosphodiesterase II at 37</w:t>
      </w:r>
      <w:r>
        <w:rPr>
          <w:sz w:val="20"/>
          <w:szCs w:val="20"/>
          <w:vertAlign w:val="superscript"/>
        </w:rPr>
        <w:t>o</w:t>
      </w:r>
      <w:r>
        <w:rPr>
          <w:sz w:val="20"/>
          <w:szCs w:val="20"/>
        </w:rPr>
        <w:t>C</w:t>
      </w:r>
      <w:r>
        <w:rPr>
          <w:rFonts w:ascii="Calibri" w:eastAsia="Calibri" w:hAnsi="Calibri" w:cs="Calibri"/>
        </w:rPr>
        <w:t xml:space="preserve"> </w:t>
      </w:r>
      <w:r>
        <w:rPr>
          <w:sz w:val="20"/>
          <w:szCs w:val="20"/>
        </w:rPr>
        <w:t xml:space="preserve">for varying times. At each time point (0 min, 30 min, 1 </w:t>
      </w:r>
      <w:proofErr w:type="spellStart"/>
      <w:r>
        <w:rPr>
          <w:sz w:val="20"/>
          <w:szCs w:val="20"/>
        </w:rPr>
        <w:t>hr</w:t>
      </w:r>
      <w:proofErr w:type="spellEnd"/>
      <w:r>
        <w:rPr>
          <w:sz w:val="20"/>
          <w:szCs w:val="20"/>
        </w:rPr>
        <w:t xml:space="preserve">, 5 </w:t>
      </w:r>
      <w:proofErr w:type="spellStart"/>
      <w:r>
        <w:rPr>
          <w:sz w:val="20"/>
          <w:szCs w:val="20"/>
        </w:rPr>
        <w:t>hr</w:t>
      </w:r>
      <w:proofErr w:type="spellEnd"/>
      <w:r>
        <w:rPr>
          <w:sz w:val="20"/>
          <w:szCs w:val="20"/>
        </w:rPr>
        <w:t xml:space="preserve">, 20 </w:t>
      </w:r>
      <w:proofErr w:type="spellStart"/>
      <w:r>
        <w:rPr>
          <w:sz w:val="20"/>
          <w:szCs w:val="20"/>
        </w:rPr>
        <w:t>hr</w:t>
      </w:r>
      <w:proofErr w:type="spellEnd"/>
      <w:r>
        <w:rPr>
          <w:sz w:val="20"/>
          <w:szCs w:val="20"/>
        </w:rPr>
        <w:t xml:space="preserve"> and 24 </w:t>
      </w:r>
      <w:proofErr w:type="spellStart"/>
      <w:r>
        <w:rPr>
          <w:sz w:val="20"/>
          <w:szCs w:val="20"/>
        </w:rPr>
        <w:t>hr</w:t>
      </w:r>
      <w:proofErr w:type="spellEnd"/>
      <w:r>
        <w:rPr>
          <w:sz w:val="20"/>
          <w:szCs w:val="20"/>
        </w:rPr>
        <w:t xml:space="preserve"> time points) 200 ng of DNA was collected, immediately mixed with 6× native loading buffer, and analyzed by 10% native PAGE in TB buffer. The gels were stained with </w:t>
      </w:r>
      <w:proofErr w:type="spellStart"/>
      <w:r>
        <w:rPr>
          <w:sz w:val="20"/>
          <w:szCs w:val="20"/>
        </w:rPr>
        <w:t>Sybr</w:t>
      </w:r>
      <w:proofErr w:type="spellEnd"/>
      <w:r>
        <w:rPr>
          <w:sz w:val="20"/>
          <w:szCs w:val="20"/>
        </w:rPr>
        <w:t xml:space="preserve"> Gold (Invitrogen), briefly washed, and imaged using the </w:t>
      </w:r>
      <w:proofErr w:type="spellStart"/>
      <w:r>
        <w:rPr>
          <w:sz w:val="20"/>
          <w:szCs w:val="20"/>
        </w:rPr>
        <w:t>Bio-rad</w:t>
      </w:r>
      <w:proofErr w:type="spellEnd"/>
      <w:r>
        <w:rPr>
          <w:sz w:val="20"/>
          <w:szCs w:val="20"/>
        </w:rPr>
        <w:t xml:space="preserve"> </w:t>
      </w:r>
      <w:proofErr w:type="spellStart"/>
      <w:r>
        <w:rPr>
          <w:sz w:val="20"/>
          <w:szCs w:val="20"/>
        </w:rPr>
        <w:t>ChemiDoc</w:t>
      </w:r>
      <w:proofErr w:type="spellEnd"/>
      <w:r>
        <w:rPr>
          <w:sz w:val="20"/>
          <w:szCs w:val="20"/>
        </w:rPr>
        <w:t xml:space="preserve"> Imaging System.</w:t>
      </w:r>
    </w:p>
    <w:p w14:paraId="65806A10" w14:textId="77777777" w:rsidR="00322548" w:rsidRDefault="004D2B7B">
      <w:pPr>
        <w:spacing w:after="200" w:line="360" w:lineRule="auto"/>
        <w:rPr>
          <w:b/>
          <w:bCs/>
          <w:sz w:val="20"/>
          <w:szCs w:val="20"/>
        </w:rPr>
      </w:pPr>
      <w:r>
        <w:rPr>
          <w:b/>
          <w:bCs/>
          <w:sz w:val="20"/>
          <w:szCs w:val="20"/>
        </w:rPr>
        <w:t>Melting temperature measurement of L-DNA nanostructures</w:t>
      </w:r>
    </w:p>
    <w:p w14:paraId="0A71CD92" w14:textId="77777777" w:rsidR="00322548" w:rsidRDefault="004D2B7B">
      <w:pPr>
        <w:spacing w:after="200" w:line="360" w:lineRule="auto"/>
        <w:rPr>
          <w:sz w:val="20"/>
          <w:szCs w:val="20"/>
        </w:rPr>
      </w:pPr>
      <w:r>
        <w:rPr>
          <w:sz w:val="20"/>
          <w:szCs w:val="20"/>
        </w:rPr>
        <w:t>Melting temperature measurements were performed using the Varian Cary 300 UV-Visible Spectrophotometer equipped with Agilent temperature controller. Samples containing 0.2 µM RNA or DNA structures were dissolved in water, heated to 85ºC, and slowly cooled down to room temperature. The UV absorbance at 260 nm was monitored at a heating rate of 0.5 ºC/min over 5 °C to 85 °C.</w:t>
      </w:r>
    </w:p>
    <w:p w14:paraId="4AE800C7" w14:textId="77777777" w:rsidR="00322548" w:rsidRDefault="004D2B7B">
      <w:pPr>
        <w:spacing w:after="200" w:line="360" w:lineRule="auto"/>
        <w:rPr>
          <w:b/>
          <w:bCs/>
          <w:sz w:val="20"/>
          <w:szCs w:val="20"/>
        </w:rPr>
      </w:pPr>
      <w:r>
        <w:rPr>
          <w:b/>
          <w:bCs/>
          <w:sz w:val="20"/>
          <w:szCs w:val="20"/>
        </w:rPr>
        <w:t>Cell culture</w:t>
      </w:r>
    </w:p>
    <w:p w14:paraId="4172A89C" w14:textId="77777777" w:rsidR="00322548" w:rsidRDefault="004D2B7B">
      <w:pPr>
        <w:spacing w:after="200" w:line="360" w:lineRule="auto"/>
        <w:rPr>
          <w:sz w:val="20"/>
          <w:szCs w:val="20"/>
        </w:rPr>
      </w:pPr>
      <w:r>
        <w:rPr>
          <w:sz w:val="20"/>
          <w:szCs w:val="20"/>
        </w:rPr>
        <w:t>MDA-MB-231 (RRID: CVCL_0419) and HEK-293T (RRID: CVCL_0063) cells were obtained from the American Tissue Type Collection (ATCC, Manassas, VA) or as a gift from Indiana University Melvin and Bren Simon Comprehensive Cancer Center. Cells were maintained in DMEM (Corning, Cat. #10-013-CV) supplemented with 10% FBS. All cell lines were maintained at 37°C in a humidified incubator with 5% CO</w:t>
      </w:r>
      <w:r>
        <w:rPr>
          <w:sz w:val="20"/>
          <w:szCs w:val="20"/>
          <w:vertAlign w:val="subscript"/>
        </w:rPr>
        <w:t>2</w:t>
      </w:r>
      <w:r>
        <w:rPr>
          <w:sz w:val="20"/>
          <w:szCs w:val="20"/>
        </w:rPr>
        <w:t xml:space="preserve">, used at early passage for experiments, and confirmed to be free of mycoplasma contamination. </w:t>
      </w:r>
    </w:p>
    <w:p w14:paraId="66BB4C1A" w14:textId="77777777" w:rsidR="00322548" w:rsidRDefault="004D2B7B">
      <w:pPr>
        <w:spacing w:after="200" w:line="360" w:lineRule="auto"/>
        <w:rPr>
          <w:b/>
          <w:bCs/>
          <w:sz w:val="20"/>
          <w:szCs w:val="20"/>
        </w:rPr>
      </w:pPr>
      <w:r>
        <w:rPr>
          <w:b/>
          <w:bCs/>
          <w:sz w:val="20"/>
          <w:szCs w:val="20"/>
        </w:rPr>
        <w:lastRenderedPageBreak/>
        <w:t>Fluorescent microscope analysis</w:t>
      </w:r>
    </w:p>
    <w:p w14:paraId="3A635CB5" w14:textId="77777777" w:rsidR="00322548" w:rsidRDefault="004D2B7B">
      <w:pPr>
        <w:spacing w:after="200" w:line="360" w:lineRule="auto"/>
        <w:rPr>
          <w:sz w:val="20"/>
          <w:szCs w:val="20"/>
        </w:rPr>
      </w:pPr>
      <w:r>
        <w:rPr>
          <w:sz w:val="20"/>
          <w:szCs w:val="20"/>
        </w:rPr>
        <w:t>MDA-MB-231 cells were seeded onto poly-D-lysine–coated coverslips in 24-well plates at a density of 1 × 10^5 cells per well and cultured overnight in DMEM supplemented with 10% fetal bovine serum at 37 °C in a humidified atmosphere containing 5% CO</w:t>
      </w:r>
      <w:r>
        <w:rPr>
          <w:sz w:val="20"/>
          <w:szCs w:val="20"/>
          <w:vertAlign w:val="subscript"/>
        </w:rPr>
        <w:t>2</w:t>
      </w:r>
      <w:r>
        <w:rPr>
          <w:sz w:val="20"/>
          <w:szCs w:val="20"/>
        </w:rPr>
        <w:t xml:space="preserve">. Cells were incubated with Cy5-labeled EpCAM-targeted L-DNA nanostructures or Cy5-labeled scramble oligo lacking the EpCAM aptamer at a final concentration of 50 </w:t>
      </w:r>
      <w:proofErr w:type="spellStart"/>
      <w:r>
        <w:rPr>
          <w:sz w:val="20"/>
          <w:szCs w:val="20"/>
        </w:rPr>
        <w:t>nM</w:t>
      </w:r>
      <w:proofErr w:type="spellEnd"/>
      <w:r>
        <w:rPr>
          <w:sz w:val="20"/>
          <w:szCs w:val="20"/>
        </w:rPr>
        <w:t xml:space="preserve"> for 2 h in complete culture medium. Following incubation, cells were washed three times with phosphate-buffered saline (PBS) to remove unbound nanostructures and fixed with 4% paraformaldehyde for 15 min at room temperature. Cell nuclei were stained with DAPI for 5 min prior to imaging. Fluorescence images were acquired using an inverted fluore</w:t>
      </w:r>
      <w:r>
        <w:rPr>
          <w:sz w:val="20"/>
          <w:szCs w:val="20"/>
        </w:rPr>
        <w:t>scence microscope equipped with DAPI and Cy5 filter sets. Images were processed using ImageJ software under identical exposure conditions for all experimental groups.</w:t>
      </w:r>
    </w:p>
    <w:p w14:paraId="10E86EBD" w14:textId="77777777" w:rsidR="00322548" w:rsidRDefault="004D2B7B">
      <w:pPr>
        <w:spacing w:after="200" w:line="360" w:lineRule="auto"/>
        <w:rPr>
          <w:b/>
          <w:bCs/>
          <w:sz w:val="20"/>
          <w:szCs w:val="20"/>
        </w:rPr>
      </w:pPr>
      <w:r>
        <w:rPr>
          <w:b/>
          <w:bCs/>
          <w:sz w:val="20"/>
          <w:szCs w:val="20"/>
        </w:rPr>
        <w:t>Flow cytometry analysis</w:t>
      </w:r>
    </w:p>
    <w:p w14:paraId="3FECFA1D" w14:textId="77777777" w:rsidR="00322548" w:rsidRDefault="004D2B7B">
      <w:pPr>
        <w:spacing w:after="200" w:line="360" w:lineRule="auto"/>
        <w:rPr>
          <w:sz w:val="20"/>
          <w:szCs w:val="20"/>
        </w:rPr>
      </w:pPr>
      <w:r>
        <w:rPr>
          <w:sz w:val="20"/>
          <w:szCs w:val="20"/>
        </w:rPr>
        <w:t>Flow cytometry was performed to quantify the internalization of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and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nanostructures. MDA-MB-231 cells were cultured in DMEM with 10% FBS at 37°C in a 5% CO</w:t>
      </w:r>
      <w:r>
        <w:rPr>
          <w:rFonts w:ascii="Cambria Math" w:eastAsia="Cambria Math" w:hAnsi="Cambria Math" w:cs="Cambria Math"/>
          <w:sz w:val="20"/>
          <w:szCs w:val="20"/>
        </w:rPr>
        <w:t>₂</w:t>
      </w:r>
      <w:r>
        <w:rPr>
          <w:sz w:val="20"/>
          <w:szCs w:val="20"/>
        </w:rPr>
        <w:t xml:space="preserve"> incubator until they reached 80% confluence. Cells were seeded in 6-well plates at a density of 1 × 10⁵ cells per well and allowed to adhere overnight. Nanostructures were added at a final concentration of 50 </w:t>
      </w:r>
      <w:proofErr w:type="spellStart"/>
      <w:r>
        <w:rPr>
          <w:sz w:val="20"/>
          <w:szCs w:val="20"/>
        </w:rPr>
        <w:t>nM</w:t>
      </w:r>
      <w:proofErr w:type="spellEnd"/>
      <w:r>
        <w:rPr>
          <w:sz w:val="20"/>
          <w:szCs w:val="20"/>
        </w:rPr>
        <w:t xml:space="preserve"> in </w:t>
      </w:r>
      <w:proofErr w:type="spellStart"/>
      <w:r>
        <w:rPr>
          <w:sz w:val="20"/>
          <w:szCs w:val="20"/>
        </w:rPr>
        <w:t>opti</w:t>
      </w:r>
      <w:proofErr w:type="spellEnd"/>
      <w:r>
        <w:rPr>
          <w:sz w:val="20"/>
          <w:szCs w:val="20"/>
        </w:rPr>
        <w:t>-MEM medium and incubated with cells for 4 hours. After incubation, cells were washed three times with PBS, detached and resuspended in 1 mL PBS for analysis. Flow cytometry was performed with Cy5 fluorescence detected and at least 10,000 events were collected for each sample. Data were anal</w:t>
      </w:r>
      <w:r>
        <w:rPr>
          <w:sz w:val="20"/>
          <w:szCs w:val="20"/>
        </w:rPr>
        <w:t xml:space="preserve">yzed using </w:t>
      </w:r>
      <w:proofErr w:type="spellStart"/>
      <w:r>
        <w:rPr>
          <w:sz w:val="20"/>
          <w:szCs w:val="20"/>
        </w:rPr>
        <w:t>FlowJo</w:t>
      </w:r>
      <w:proofErr w:type="spellEnd"/>
      <w:r>
        <w:rPr>
          <w:sz w:val="20"/>
          <w:szCs w:val="20"/>
        </w:rPr>
        <w:t xml:space="preserve"> software (</w:t>
      </w:r>
      <w:proofErr w:type="spellStart"/>
      <w:r>
        <w:rPr>
          <w:sz w:val="20"/>
          <w:szCs w:val="20"/>
        </w:rPr>
        <w:t>FlowJo</w:t>
      </w:r>
      <w:proofErr w:type="spellEnd"/>
      <w:r>
        <w:rPr>
          <w:sz w:val="20"/>
          <w:szCs w:val="20"/>
        </w:rPr>
        <w:t xml:space="preserve"> LLC), and the data are presented as the percentage of the cells.</w:t>
      </w:r>
    </w:p>
    <w:p w14:paraId="0143FFE2" w14:textId="77777777" w:rsidR="00322548" w:rsidRDefault="004D2B7B">
      <w:pPr>
        <w:spacing w:after="200" w:line="360" w:lineRule="auto"/>
        <w:rPr>
          <w:b/>
          <w:bCs/>
          <w:sz w:val="20"/>
          <w:szCs w:val="20"/>
        </w:rPr>
      </w:pPr>
      <w:r>
        <w:rPr>
          <w:b/>
          <w:bCs/>
          <w:sz w:val="20"/>
          <w:szCs w:val="20"/>
        </w:rPr>
        <w:t>Formation of DOX/nanostructure complexes</w:t>
      </w:r>
    </w:p>
    <w:p w14:paraId="28BC304F" w14:textId="77777777" w:rsidR="00322548" w:rsidRDefault="004D2B7B">
      <w:pPr>
        <w:spacing w:after="200" w:line="360" w:lineRule="auto"/>
        <w:rPr>
          <w:sz w:val="20"/>
          <w:szCs w:val="20"/>
        </w:rPr>
      </w:pPr>
      <w:r>
        <w:rPr>
          <w:sz w:val="20"/>
          <w:szCs w:val="20"/>
        </w:rPr>
        <w:t xml:space="preserve">Doxorubicin was loaded into the EpCAM–L-DNA nanostructure via spontaneous binding with double-stranded L-DNA domains. Briefly, pre-assembled EpCAM–L-DNA nanostructures (2 </w:t>
      </w:r>
      <w:proofErr w:type="spellStart"/>
      <w:r>
        <w:rPr>
          <w:sz w:val="20"/>
          <w:szCs w:val="20"/>
        </w:rPr>
        <w:t>μM</w:t>
      </w:r>
      <w:proofErr w:type="spellEnd"/>
      <w:r>
        <w:rPr>
          <w:sz w:val="20"/>
          <w:szCs w:val="20"/>
        </w:rPr>
        <w:t xml:space="preserve"> final concentration) were incubated with DOX at varying molar ratios (</w:t>
      </w:r>
      <w:proofErr w:type="gramStart"/>
      <w:r>
        <w:rPr>
          <w:sz w:val="20"/>
          <w:szCs w:val="20"/>
        </w:rPr>
        <w:t>DOX:L</w:t>
      </w:r>
      <w:proofErr w:type="gramEnd"/>
      <w:r>
        <w:rPr>
          <w:sz w:val="20"/>
          <w:szCs w:val="20"/>
        </w:rPr>
        <w:t xml:space="preserve">-DNA base pair ratios of 1:1) in loading buffer: 50 mM NaCl, 10 mM phosphate buffer, pH 7.4, 10 mM </w:t>
      </w:r>
      <w:proofErr w:type="spellStart"/>
      <w:r>
        <w:rPr>
          <w:sz w:val="20"/>
          <w:szCs w:val="20"/>
        </w:rPr>
        <w:t>MgCl</w:t>
      </w:r>
      <w:proofErr w:type="spellEnd"/>
      <w:r>
        <w:rPr>
          <w:rFonts w:ascii="Cambria Math" w:eastAsia="Cambria Math" w:hAnsi="Cambria Math" w:cs="Cambria Math"/>
          <w:sz w:val="20"/>
          <w:szCs w:val="20"/>
        </w:rPr>
        <w:t>₂</w:t>
      </w:r>
      <w:r>
        <w:rPr>
          <w:sz w:val="20"/>
          <w:szCs w:val="20"/>
        </w:rPr>
        <w:t xml:space="preserve">). The mixture was incubated at room temperature for 2 h under gentle agitation to allow intercalation equilibrium. Unbound DOX was removed by centrifugal ultrafiltration using 10 </w:t>
      </w:r>
      <w:proofErr w:type="spellStart"/>
      <w:r>
        <w:rPr>
          <w:sz w:val="20"/>
          <w:szCs w:val="20"/>
        </w:rPr>
        <w:t>kDa</w:t>
      </w:r>
      <w:proofErr w:type="spellEnd"/>
      <w:r>
        <w:rPr>
          <w:sz w:val="20"/>
          <w:szCs w:val="20"/>
        </w:rPr>
        <w:t xml:space="preserve"> molecular weight cutoff filters (</w:t>
      </w:r>
      <w:proofErr w:type="spellStart"/>
      <w:r>
        <w:rPr>
          <w:sz w:val="20"/>
          <w:szCs w:val="20"/>
        </w:rPr>
        <w:t>Amicon</w:t>
      </w:r>
      <w:proofErr w:type="spellEnd"/>
      <w:r>
        <w:rPr>
          <w:sz w:val="20"/>
          <w:szCs w:val="20"/>
        </w:rPr>
        <w:t xml:space="preserve"> Ultra, Millipore) and washed three times with a loading buffer. The retained nanostructure was collected and stored at 4 °C until further use. For comparison, DOX loading into analogous EpCAM–D-DNA nanostructures </w:t>
      </w:r>
      <w:proofErr w:type="gramStart"/>
      <w:r>
        <w:rPr>
          <w:sz w:val="20"/>
          <w:szCs w:val="20"/>
        </w:rPr>
        <w:t>was</w:t>
      </w:r>
      <w:proofErr w:type="gramEnd"/>
      <w:r>
        <w:rPr>
          <w:sz w:val="20"/>
          <w:szCs w:val="20"/>
        </w:rPr>
        <w:t xml:space="preserve"> performed under identical conditions.</w:t>
      </w:r>
    </w:p>
    <w:p w14:paraId="56960ACF" w14:textId="77777777" w:rsidR="00322548" w:rsidRDefault="004D2B7B">
      <w:pPr>
        <w:spacing w:after="200" w:line="360" w:lineRule="auto"/>
        <w:rPr>
          <w:b/>
          <w:bCs/>
          <w:sz w:val="20"/>
          <w:szCs w:val="20"/>
        </w:rPr>
      </w:pPr>
      <w:r>
        <w:rPr>
          <w:b/>
          <w:bCs/>
          <w:sz w:val="20"/>
          <w:szCs w:val="20"/>
        </w:rPr>
        <w:t xml:space="preserve">In Vitro Cytotoxicity Assessment by Alamar Blue Assay </w:t>
      </w:r>
    </w:p>
    <w:p w14:paraId="552990CF" w14:textId="77777777" w:rsidR="00322548" w:rsidRDefault="004D2B7B">
      <w:pPr>
        <w:spacing w:after="200" w:line="360" w:lineRule="auto"/>
        <w:rPr>
          <w:sz w:val="20"/>
          <w:szCs w:val="20"/>
        </w:rPr>
      </w:pPr>
      <w:r>
        <w:rPr>
          <w:sz w:val="20"/>
          <w:szCs w:val="20"/>
        </w:rPr>
        <w:t>Cell viability was evaluated using the Alamar Blue assay</w:t>
      </w:r>
      <w:r>
        <w:rPr>
          <w:sz w:val="20"/>
          <w:szCs w:val="20"/>
          <w:vertAlign w:val="superscript"/>
        </w:rPr>
        <w:t>31</w:t>
      </w:r>
      <w:r>
        <w:rPr>
          <w:sz w:val="20"/>
          <w:szCs w:val="20"/>
        </w:rPr>
        <w:t xml:space="preserve"> (Invitrogen, Cat. No. A50101) according to the manufacturer’s protocol. MDA-MB-231 and HEK-293T cells were seeded in poly-D-lysine–coated 96-well </w:t>
      </w:r>
      <w:r>
        <w:rPr>
          <w:sz w:val="20"/>
          <w:szCs w:val="20"/>
        </w:rPr>
        <w:lastRenderedPageBreak/>
        <w:t xml:space="preserve">plates at a density of 8,000–10,000 cells per well in 100 </w:t>
      </w:r>
      <w:proofErr w:type="spellStart"/>
      <w:r>
        <w:rPr>
          <w:sz w:val="20"/>
          <w:szCs w:val="20"/>
        </w:rPr>
        <w:t>μL</w:t>
      </w:r>
      <w:proofErr w:type="spellEnd"/>
      <w:r>
        <w:rPr>
          <w:sz w:val="20"/>
          <w:szCs w:val="20"/>
        </w:rPr>
        <w:t xml:space="preserve"> of complete growth medium and allowed to adhere overnight at 37 °C in a humidified atmosphere containing 5% CO</w:t>
      </w:r>
      <w:r>
        <w:rPr>
          <w:rFonts w:ascii="Cambria Math" w:eastAsia="Cambria Math" w:hAnsi="Cambria Math" w:cs="Cambria Math"/>
          <w:sz w:val="20"/>
          <w:szCs w:val="20"/>
        </w:rPr>
        <w:t>₂</w:t>
      </w:r>
      <w:r>
        <w:rPr>
          <w:sz w:val="20"/>
          <w:szCs w:val="20"/>
        </w:rPr>
        <w:t xml:space="preserve">. Cells were treated with serial dilutions of the following formulations: free doxorubicin (DOX), aptamer–L-DNA–DOX nanostructures, aptamer–D-DNA–DOX nanostructures, and phosphate-buffered saline (PBS) as a negative control. Drug-containing solutions were prepared in complete medium and added to cells to achieve a final treatment volume of 100 </w:t>
      </w:r>
      <w:proofErr w:type="spellStart"/>
      <w:r>
        <w:rPr>
          <w:sz w:val="20"/>
          <w:szCs w:val="20"/>
        </w:rPr>
        <w:t>μL</w:t>
      </w:r>
      <w:proofErr w:type="spellEnd"/>
      <w:r>
        <w:rPr>
          <w:sz w:val="20"/>
          <w:szCs w:val="20"/>
        </w:rPr>
        <w:t xml:space="preserve"> per well. Treatments were administered for 3 h, after which the medium was removed and replaced with fresh complete medium. Subsequently, after, 10 </w:t>
      </w:r>
      <w:proofErr w:type="spellStart"/>
      <w:r>
        <w:rPr>
          <w:sz w:val="20"/>
          <w:szCs w:val="20"/>
        </w:rPr>
        <w:t>μL</w:t>
      </w:r>
      <w:proofErr w:type="spellEnd"/>
      <w:r>
        <w:rPr>
          <w:sz w:val="20"/>
          <w:szCs w:val="20"/>
        </w:rPr>
        <w:t xml:space="preserve"> of </w:t>
      </w:r>
      <w:proofErr w:type="spellStart"/>
      <w:r>
        <w:rPr>
          <w:sz w:val="20"/>
          <w:szCs w:val="20"/>
        </w:rPr>
        <w:t>alamarBlu</w:t>
      </w:r>
      <w:r>
        <w:rPr>
          <w:sz w:val="20"/>
          <w:szCs w:val="20"/>
        </w:rPr>
        <w:t>e</w:t>
      </w:r>
      <w:proofErr w:type="spellEnd"/>
      <w:r>
        <w:rPr>
          <w:sz w:val="20"/>
          <w:szCs w:val="20"/>
        </w:rPr>
        <w:t xml:space="preserve"> reagent (10% v/v final concentration) was added to each well. Cells were incubated for 1 h at 37 °C, and fluorescence was measured using a Synergy H1 microplate reader (</w:t>
      </w:r>
      <w:proofErr w:type="spellStart"/>
      <w:r>
        <w:rPr>
          <w:sz w:val="20"/>
          <w:szCs w:val="20"/>
        </w:rPr>
        <w:t>BioTek</w:t>
      </w:r>
      <w:proofErr w:type="spellEnd"/>
      <w:r>
        <w:rPr>
          <w:sz w:val="20"/>
          <w:szCs w:val="20"/>
        </w:rPr>
        <w:t xml:space="preserve"> Instruments) with excitation at 560 nm and emission at 590 nm. Cell viability was calculated as the percentage of fluorescence intensity relative to untreated control cells.</w:t>
      </w:r>
    </w:p>
    <w:p w14:paraId="36A5430C" w14:textId="77777777" w:rsidR="00322548" w:rsidRDefault="004D2B7B">
      <w:pPr>
        <w:spacing w:after="200" w:line="360" w:lineRule="auto"/>
        <w:rPr>
          <w:b/>
          <w:bCs/>
          <w:sz w:val="20"/>
          <w:szCs w:val="20"/>
        </w:rPr>
      </w:pPr>
      <w:r>
        <w:rPr>
          <w:b/>
          <w:bCs/>
          <w:sz w:val="20"/>
          <w:szCs w:val="20"/>
        </w:rPr>
        <w:t>RESULTS</w:t>
      </w:r>
    </w:p>
    <w:p w14:paraId="7D09E1C5" w14:textId="77777777" w:rsidR="00322548" w:rsidRDefault="004D2B7B">
      <w:pPr>
        <w:spacing w:after="200" w:line="360" w:lineRule="auto"/>
        <w:rPr>
          <w:b/>
          <w:bCs/>
          <w:sz w:val="20"/>
          <w:szCs w:val="20"/>
        </w:rPr>
      </w:pPr>
      <w:r>
        <w:rPr>
          <w:b/>
          <w:bCs/>
          <w:sz w:val="20"/>
          <w:szCs w:val="20"/>
        </w:rPr>
        <w:t>Thermal and Enzymatic Stability of the L-DNA Nanostructure</w:t>
      </w:r>
    </w:p>
    <w:p w14:paraId="7F274E87" w14:textId="77777777" w:rsidR="00322548" w:rsidRDefault="004D2B7B">
      <w:pPr>
        <w:spacing w:after="200" w:line="360" w:lineRule="auto"/>
        <w:rPr>
          <w:sz w:val="20"/>
          <w:szCs w:val="20"/>
        </w:rPr>
      </w:pPr>
      <w:r>
        <w:rPr>
          <w:sz w:val="20"/>
          <w:szCs w:val="20"/>
        </w:rPr>
        <w:t>The thermal stability of the nanostructures was assessed by monitoring UV absorbance at 260 nm over a range of temperatures. The normalized result is shown in Figure 1C, which indicates the annealing transition of different complexes of oligo assemblies. Both aptamer-D-DNA and aptamer-L-DNA complexes exhibited characteristic melting profiles corresponding to the transition from double-stranded to single-stranded structures. As temperature increased, a gradual rise in UV absorbance was observed due to the hy</w:t>
      </w:r>
      <w:r>
        <w:rPr>
          <w:sz w:val="20"/>
          <w:szCs w:val="20"/>
        </w:rPr>
        <w:t>perchromic effect associated with nucleic acid strand separation.</w:t>
      </w:r>
      <w:r>
        <w:rPr>
          <w:rFonts w:ascii="Calibri" w:eastAsia="Calibri" w:hAnsi="Calibri" w:cs="Calibri"/>
        </w:rPr>
        <w:t xml:space="preserve"> </w:t>
      </w:r>
      <w:r>
        <w:rPr>
          <w:sz w:val="20"/>
          <w:szCs w:val="20"/>
        </w:rPr>
        <w:t>The aptamer-D-DNA nanostructure displayed a melting transition at approximately 58–62 °C, while the aptamer-LDNA nanostructure showed a slightly higher melting temperature of approximately 70–75 °C. The rightward shift of the melting curve for aptamer-L-DNA indicates improved thermal stability compared with the conventional D-DNA counterpart.</w:t>
      </w:r>
    </w:p>
    <w:p w14:paraId="21FC9CF0" w14:textId="77777777" w:rsidR="00322548" w:rsidRDefault="004D2B7B">
      <w:pPr>
        <w:spacing w:after="200" w:line="360" w:lineRule="auto"/>
        <w:rPr>
          <w:sz w:val="20"/>
          <w:szCs w:val="20"/>
        </w:rPr>
      </w:pPr>
      <w:r>
        <w:rPr>
          <w:sz w:val="20"/>
          <w:szCs w:val="20"/>
        </w:rPr>
        <w:t>These results demonstrate that the mirror-image L-DNA nanostructure maintains strong structural integrity over a broader temperature range. The enhanced stability is consistent with the physicochemical properties of mirror-image nucleic acids, which preserve Watson–Crick base pairing while exhibiting altered chirality. This increased thermal stability further supports the use of L-DNA nanostructures as robust scaffolds for nucleic acid–based drug delivery systems under physiological conditions.</w:t>
      </w:r>
    </w:p>
    <w:p w14:paraId="731D5B75" w14:textId="77777777" w:rsidR="00322548" w:rsidRDefault="004D2B7B">
      <w:pPr>
        <w:spacing w:after="200" w:line="360" w:lineRule="auto"/>
        <w:rPr>
          <w:sz w:val="20"/>
          <w:szCs w:val="20"/>
        </w:rPr>
      </w:pPr>
      <w:r>
        <w:rPr>
          <w:sz w:val="20"/>
          <w:szCs w:val="20"/>
        </w:rPr>
        <w:t>It has been known about the enzymatic stability of L-nucleic acid under physiological conditions</w:t>
      </w:r>
      <w:r>
        <w:rPr>
          <w:sz w:val="20"/>
          <w:szCs w:val="20"/>
          <w:vertAlign w:val="superscript"/>
        </w:rPr>
        <w:t>32</w:t>
      </w:r>
      <w:r>
        <w:rPr>
          <w:sz w:val="20"/>
          <w:szCs w:val="20"/>
        </w:rPr>
        <w:t>. We then attempted to evaluate the enzymatic stability of our designed D-DNA and L-DNA nanostructures for drug delivery. By incubating the samples in 25% phosphodiesterase II conditions and analyzing degradation over time, as shown in Figure 1D, the L-DNA nanostructure remained largely intact over the entire 24 h incubation period, with minimal reduction in band intensity and no detectable fragmentation. In contrast, the D-DNA nanostructure exhibited rapid degradation, with a significant decrease in the in</w:t>
      </w:r>
      <w:r>
        <w:rPr>
          <w:sz w:val="20"/>
          <w:szCs w:val="20"/>
        </w:rPr>
        <w:t xml:space="preserve">tact </w:t>
      </w:r>
      <w:r>
        <w:rPr>
          <w:sz w:val="20"/>
          <w:szCs w:val="20"/>
        </w:rPr>
        <w:lastRenderedPageBreak/>
        <w:t>band observed within the first 1–5 h, accompanied by the appearance of smeared and lower-molecular-weight fragments indicative of nuclease-mediated cleavage. By 20 h, the D-DNA nanostructure was almost completely degraded under the same conditions.</w:t>
      </w:r>
    </w:p>
    <w:p w14:paraId="484A8127" w14:textId="77777777" w:rsidR="00322548" w:rsidRDefault="004D2B7B">
      <w:pPr>
        <w:spacing w:after="200" w:line="360" w:lineRule="auto"/>
        <w:rPr>
          <w:sz w:val="20"/>
          <w:szCs w:val="20"/>
        </w:rPr>
      </w:pPr>
      <w:r>
        <w:rPr>
          <w:sz w:val="20"/>
          <w:szCs w:val="20"/>
        </w:rPr>
        <w:t>These results demonstrate that the L-DNA nanostructure possesses significantly enhanced resistance to nuclease-mediated degradation compared with D-DNA. The improved stability is likely due to the mirror-image chirality of L-DNA, which prevents recognition and cleavage of the whole nucleic acid construct by natural nucleases. This enhanced enzymatic stability supports the potential of L-DNA nanostructures as robust platforms for nucleic acid–based drug delivery systems.</w:t>
      </w:r>
    </w:p>
    <w:p w14:paraId="6D499380" w14:textId="77777777" w:rsidR="00322548" w:rsidRDefault="004D2B7B">
      <w:pPr>
        <w:spacing w:after="200" w:line="360" w:lineRule="auto"/>
        <w:rPr>
          <w:rFonts w:ascii="Calibri" w:eastAsia="Calibri" w:hAnsi="Calibri" w:cs="Calibri"/>
        </w:rPr>
      </w:pPr>
      <w:r>
        <w:rPr>
          <w:b/>
          <w:bCs/>
          <w:sz w:val="20"/>
          <w:szCs w:val="20"/>
        </w:rPr>
        <w:t>Specific cancer cell targeting by EpCAM aptamer-conjugated L-DNA nanostructure</w:t>
      </w:r>
    </w:p>
    <w:p w14:paraId="3AAC89A4" w14:textId="77777777" w:rsidR="00322548" w:rsidRDefault="004D2B7B">
      <w:pPr>
        <w:spacing w:after="200" w:line="360" w:lineRule="auto"/>
        <w:rPr>
          <w:sz w:val="20"/>
          <w:szCs w:val="20"/>
        </w:rPr>
      </w:pPr>
      <w:r>
        <w:rPr>
          <w:sz w:val="20"/>
          <w:szCs w:val="20"/>
        </w:rPr>
        <w:t xml:space="preserve">To achieve effective delivery of anticancer agents into cancer cells, the designed nanomedicine must first bind to receptors on the cancer cell membrane and subsequently penetrate the membrane, enabling the release of therapeutic cargo into the cytoplasm. To evaluate the binding efficiency and cancer-cell-targeting capability of the nanostructures, fluorescence microscopy and flow cytometry analyses were performed. The TNBC cell line MDA-MB-231 was treated with medium containing 50 </w:t>
      </w:r>
      <w:proofErr w:type="spellStart"/>
      <w:r>
        <w:rPr>
          <w:sz w:val="20"/>
          <w:szCs w:val="20"/>
        </w:rPr>
        <w:t>nM</w:t>
      </w:r>
      <w:proofErr w:type="spellEnd"/>
      <w:r>
        <w:rPr>
          <w:sz w:val="20"/>
          <w:szCs w:val="20"/>
        </w:rPr>
        <w:t xml:space="preserve"> aptamer-positive, Cy5-labeled nanostructures. As a control, cells were incubated under the same conditions with Cy5-labeled scrambled oligonucleotide nanostructures lacking the aptamer to assess target specificity. After 2 h of incubation with the nanostructures, the cells were washed and fixed, and the nuclei were stained with DAPI.</w:t>
      </w:r>
    </w:p>
    <w:p w14:paraId="0829210A" w14:textId="77777777" w:rsidR="00322548" w:rsidRDefault="004D2B7B">
      <w:pPr>
        <w:spacing w:after="200" w:line="360" w:lineRule="auto"/>
        <w:rPr>
          <w:sz w:val="20"/>
          <w:szCs w:val="20"/>
        </w:rPr>
      </w:pPr>
      <w:r>
        <w:rPr>
          <w:sz w:val="20"/>
          <w:szCs w:val="20"/>
        </w:rPr>
        <w:t>Fluorescence microscopy images showed increased Cy5 signal in MDA-MB-231 cells following incubation with the Cy5-labeled, aptamer-positive nanostructures (Figure 2A). The observed Cy5 fluorescence was localized around the DAPI-stained nuclei, suggesting that the nanostructures were internalized and delivered to the cytoplasm of the cancer cells. In contrast, the Cy5-labeled, aptamer-negative scrambled oligonucleotide showed minimal binding or intracellular delivery, likely due to the absence of the EpCAM ap</w:t>
      </w:r>
      <w:r>
        <w:rPr>
          <w:sz w:val="20"/>
          <w:szCs w:val="20"/>
        </w:rPr>
        <w:t>tamer required for targeted cell recognition. The successful detection of the designed nanostructures within cancer cells supports their potential as a stable and precise platform for targeted therapeutic delivery.</w:t>
      </w:r>
    </w:p>
    <w:p w14:paraId="2CE5228C" w14:textId="77777777" w:rsidR="00322548" w:rsidRDefault="004D2B7B">
      <w:pPr>
        <w:spacing w:after="200" w:line="360" w:lineRule="auto"/>
        <w:rPr>
          <w:sz w:val="20"/>
          <w:szCs w:val="20"/>
        </w:rPr>
      </w:pPr>
      <w:r>
        <w:rPr>
          <w:sz w:val="20"/>
          <w:szCs w:val="20"/>
        </w:rPr>
        <w:t>Moreover, flow cytometry was conducted to quantify the internalization efficiency of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and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nanoparticles to the cancer cells. The results showed that 78.7% of cells were Cy5-positive when treated with aptamer</w:t>
      </w:r>
      <w:r>
        <w:rPr>
          <w:rFonts w:ascii="Cambria Math" w:eastAsia="Cambria Math" w:hAnsi="Cambria Math" w:cs="Cambria Math"/>
          <w:sz w:val="20"/>
          <w:szCs w:val="20"/>
        </w:rPr>
        <w:t>⁺</w:t>
      </w:r>
      <w:r>
        <w:rPr>
          <w:sz w:val="20"/>
          <w:szCs w:val="20"/>
        </w:rPr>
        <w:t xml:space="preserve"> nanoparticles, compared to only 1.02% for aptamer</w:t>
      </w:r>
      <w:r>
        <w:rPr>
          <w:rFonts w:ascii="Cambria Math" w:eastAsia="Cambria Math" w:hAnsi="Cambria Math" w:cs="Cambria Math"/>
          <w:sz w:val="20"/>
          <w:szCs w:val="20"/>
        </w:rPr>
        <w:t>⁻</w:t>
      </w:r>
      <w:r>
        <w:rPr>
          <w:sz w:val="20"/>
          <w:szCs w:val="20"/>
        </w:rPr>
        <w:t xml:space="preserve"> nanoparticles (Figure 2B). This dramatic difference demonstrates that the presence of EpCAM aptamer significantly enhances receptor-mediated uptake of the nanostructure. These findings confirm the selective targeting of aptamer</w:t>
      </w:r>
      <w:r>
        <w:rPr>
          <w:rFonts w:ascii="Cambria Math" w:eastAsia="Cambria Math" w:hAnsi="Cambria Math" w:cs="Cambria Math"/>
          <w:sz w:val="20"/>
          <w:szCs w:val="20"/>
        </w:rPr>
        <w:t>⁺</w:t>
      </w:r>
      <w:r>
        <w:rPr>
          <w:sz w:val="20"/>
          <w:szCs w:val="20"/>
        </w:rPr>
        <w:t xml:space="preserve"> nanostructure via EpCAM-mediated endocytosis, consistent with the fluorescence microscopy observations. </w:t>
      </w:r>
    </w:p>
    <w:p w14:paraId="6D6B2B40" w14:textId="77777777" w:rsidR="00322548" w:rsidRDefault="00322548">
      <w:pPr>
        <w:spacing w:after="200" w:line="360" w:lineRule="auto"/>
        <w:rPr>
          <w:b/>
          <w:bCs/>
          <w:sz w:val="20"/>
          <w:szCs w:val="20"/>
        </w:rPr>
      </w:pPr>
    </w:p>
    <w:p w14:paraId="436720A6" w14:textId="77777777" w:rsidR="00322548" w:rsidRDefault="004D2B7B">
      <w:pPr>
        <w:spacing w:after="200" w:line="360" w:lineRule="auto"/>
        <w:rPr>
          <w:b/>
          <w:bCs/>
          <w:sz w:val="20"/>
          <w:szCs w:val="20"/>
        </w:rPr>
      </w:pPr>
      <w:r>
        <w:rPr>
          <w:b/>
          <w:bCs/>
          <w:sz w:val="20"/>
          <w:szCs w:val="20"/>
        </w:rPr>
        <w:lastRenderedPageBreak/>
        <w:t>Delivery of L-DNA nanostructures to cancer cells for viability assay</w:t>
      </w:r>
    </w:p>
    <w:p w14:paraId="665C5772" w14:textId="77777777" w:rsidR="00322548" w:rsidRDefault="004D2B7B">
      <w:pPr>
        <w:spacing w:after="200" w:line="360" w:lineRule="auto"/>
        <w:rPr>
          <w:sz w:val="20"/>
          <w:szCs w:val="20"/>
        </w:rPr>
      </w:pPr>
      <w:r>
        <w:rPr>
          <w:sz w:val="20"/>
          <w:szCs w:val="20"/>
        </w:rPr>
        <w:t>The cytotoxic effects of free DOX, aptamer</w:t>
      </w:r>
      <w:r>
        <w:rPr>
          <w:sz w:val="20"/>
          <w:szCs w:val="20"/>
          <w:vertAlign w:val="superscript"/>
        </w:rPr>
        <w:t>+</w:t>
      </w:r>
      <w:r>
        <w:rPr>
          <w:sz w:val="20"/>
          <w:szCs w:val="20"/>
        </w:rPr>
        <w:t xml:space="preserve"> DOX/D-DNA conjugate, and aptamer</w:t>
      </w:r>
      <w:r>
        <w:rPr>
          <w:sz w:val="20"/>
          <w:szCs w:val="20"/>
          <w:vertAlign w:val="superscript"/>
        </w:rPr>
        <w:t>+</w:t>
      </w:r>
      <w:r>
        <w:rPr>
          <w:sz w:val="20"/>
          <w:szCs w:val="20"/>
        </w:rPr>
        <w:t xml:space="preserve"> DOX/L-DNA conjugate were evaluated in MDA-MB-231 breast cancer cells and HEK293T normal cells using a cell viability assay. Cells were treated with increasing concentrations of DOX (4-1000 </w:t>
      </w:r>
      <w:proofErr w:type="spellStart"/>
      <w:r>
        <w:rPr>
          <w:sz w:val="20"/>
          <w:szCs w:val="20"/>
        </w:rPr>
        <w:t>nM</w:t>
      </w:r>
      <w:proofErr w:type="spellEnd"/>
      <w:r>
        <w:rPr>
          <w:sz w:val="20"/>
          <w:szCs w:val="20"/>
        </w:rPr>
        <w:t xml:space="preserve"> for cancer cells and 2-250 </w:t>
      </w:r>
      <w:proofErr w:type="spellStart"/>
      <w:r>
        <w:rPr>
          <w:sz w:val="20"/>
          <w:szCs w:val="20"/>
        </w:rPr>
        <w:t>nM</w:t>
      </w:r>
      <w:proofErr w:type="spellEnd"/>
      <w:r>
        <w:rPr>
          <w:sz w:val="20"/>
          <w:szCs w:val="20"/>
        </w:rPr>
        <w:t xml:space="preserve"> for normal cells), and cell viability was measured relative to the control (Figure 3).</w:t>
      </w:r>
    </w:p>
    <w:p w14:paraId="7F9393C4" w14:textId="77777777" w:rsidR="00322548" w:rsidRDefault="004D2B7B">
      <w:pPr>
        <w:spacing w:after="200" w:line="360" w:lineRule="auto"/>
        <w:rPr>
          <w:sz w:val="20"/>
          <w:szCs w:val="20"/>
        </w:rPr>
      </w:pPr>
      <w:r>
        <w:rPr>
          <w:sz w:val="20"/>
          <w:szCs w:val="20"/>
        </w:rPr>
        <w:t xml:space="preserve">In MDA-MB-231 cells, all DOX-containing treatments </w:t>
      </w:r>
      <w:proofErr w:type="gramStart"/>
      <w:r>
        <w:rPr>
          <w:sz w:val="20"/>
          <w:szCs w:val="20"/>
        </w:rPr>
        <w:t>reduced</w:t>
      </w:r>
      <w:proofErr w:type="gramEnd"/>
      <w:r>
        <w:rPr>
          <w:sz w:val="20"/>
          <w:szCs w:val="20"/>
        </w:rPr>
        <w:t xml:space="preserve"> cell viability in a dose-dependent manner (Figure 3A). Both D-DNA+DOX and L-DNA+DOX nanostructures exhibited comparable or slightly enhanced cytotoxic effects compared with free DOX. At higher drug concentrations, L-DNA+DOX showed the strongest inhibition of cancer cell growth, suggesting efficient delivery of the chemotherapeutic payload to EpCAM-positive tumor cells. In contrast, in HEK293T normal cells, the nanostructure-mediated treatments exhibited slightly reduced cytotoxicity compared with fr</w:t>
      </w:r>
      <w:r>
        <w:rPr>
          <w:sz w:val="20"/>
          <w:szCs w:val="20"/>
        </w:rPr>
        <w:t xml:space="preserve">ee DOX, especially at 63 and 250 </w:t>
      </w:r>
      <w:proofErr w:type="spellStart"/>
      <w:r>
        <w:rPr>
          <w:sz w:val="20"/>
          <w:szCs w:val="20"/>
        </w:rPr>
        <w:t>nM</w:t>
      </w:r>
      <w:proofErr w:type="spellEnd"/>
      <w:r>
        <w:rPr>
          <w:sz w:val="20"/>
          <w:szCs w:val="20"/>
        </w:rPr>
        <w:t xml:space="preserve"> concentrations. This maintenance of high viability possibly indicates decreased off-target toxicity. This selective effect suggests that EpCAM-mediated targeting improves therapeutic specificity by preferentially affecting cancer cells while sparing normal cells.</w:t>
      </w:r>
    </w:p>
    <w:p w14:paraId="5B98C0DC" w14:textId="77777777" w:rsidR="00322548" w:rsidRDefault="004D2B7B">
      <w:pPr>
        <w:spacing w:after="200" w:line="360" w:lineRule="auto"/>
        <w:rPr>
          <w:sz w:val="20"/>
          <w:szCs w:val="20"/>
        </w:rPr>
      </w:pPr>
      <w:r>
        <w:rPr>
          <w:sz w:val="20"/>
          <w:szCs w:val="20"/>
        </w:rPr>
        <w:t>These results demonstrate that the EpCAM-functionalized nucleic acid nanostructures enable effective delivery of DOX to EpCAM-expressing cancer cells while reducing cytotoxic effects on normal cells. Consistent with previous findings reported for mirror-image nucleic acid nanostructures, the L-DNA platform provides a stable and efficient delivery vehicle for targeted cancer therapy.</w:t>
      </w:r>
    </w:p>
    <w:p w14:paraId="0E2B9F1A" w14:textId="77777777" w:rsidR="00322548" w:rsidRDefault="004D2B7B">
      <w:pPr>
        <w:spacing w:after="200" w:line="360" w:lineRule="auto"/>
        <w:rPr>
          <w:b/>
          <w:bCs/>
          <w:sz w:val="20"/>
          <w:szCs w:val="20"/>
        </w:rPr>
      </w:pPr>
      <w:r>
        <w:rPr>
          <w:b/>
          <w:bCs/>
          <w:sz w:val="20"/>
          <w:szCs w:val="20"/>
        </w:rPr>
        <w:t>DISCUSSION</w:t>
      </w:r>
    </w:p>
    <w:p w14:paraId="3A83607E" w14:textId="77777777" w:rsidR="00322548" w:rsidRDefault="004D2B7B">
      <w:pPr>
        <w:spacing w:after="200" w:line="360" w:lineRule="auto"/>
        <w:rPr>
          <w:rFonts w:ascii="Calibri" w:eastAsia="Calibri" w:hAnsi="Calibri" w:cs="Calibri"/>
        </w:rPr>
      </w:pPr>
      <w:r>
        <w:rPr>
          <w:sz w:val="20"/>
          <w:szCs w:val="20"/>
        </w:rPr>
        <w:t>The present study demonstrates that mirror-image DNA nanostructures can serve as stable and functional platforms for targeted chemotherapeutic delivery in triple-negative breast cancer. By integrating an EpCAM-targeting aptamer with an L-DNA scaffold, we generated a nanostructure capable of selectively delivering doxorubicin to cancer cells while exhibiting substantially improved resistance to thermal and enzymatic degradation compared with conventional D-DNA systems. These findings highlight the unique adv</w:t>
      </w:r>
      <w:r>
        <w:rPr>
          <w:sz w:val="20"/>
          <w:szCs w:val="20"/>
        </w:rPr>
        <w:t>antages of mirror-image nucleic acids for biomedical applications in which structural stability under physiological conditions is essential.</w:t>
      </w:r>
      <w:r>
        <w:rPr>
          <w:rFonts w:ascii="Calibri" w:eastAsia="Calibri" w:hAnsi="Calibri" w:cs="Calibri"/>
        </w:rPr>
        <w:t xml:space="preserve"> </w:t>
      </w:r>
      <w:r>
        <w:rPr>
          <w:sz w:val="20"/>
          <w:szCs w:val="20"/>
        </w:rPr>
        <w:t>As the major challenge in nucleic acid nanotechnology is the rapid degradation of natural nucleic acids in biological environments, our results further support the concept that chirality engineering provides an effective strategy to overcome this limitation. The observed reduction in cytotoxicity toward noncancerous cells also suggests that combining molecular targeting with highly stable nanostructures may improve the therapeutic selectivity of conventional chemotherapeutic agents.</w:t>
      </w:r>
      <w:r>
        <w:rPr>
          <w:rFonts w:ascii="Calibri" w:eastAsia="Calibri" w:hAnsi="Calibri" w:cs="Calibri"/>
        </w:rPr>
        <w:t xml:space="preserve"> </w:t>
      </w:r>
    </w:p>
    <w:p w14:paraId="5D199684" w14:textId="77777777" w:rsidR="00322548" w:rsidRDefault="004D2B7B">
      <w:pPr>
        <w:spacing w:after="200" w:line="360" w:lineRule="auto"/>
        <w:rPr>
          <w:sz w:val="20"/>
          <w:szCs w:val="20"/>
        </w:rPr>
      </w:pPr>
      <w:r>
        <w:rPr>
          <w:sz w:val="20"/>
          <w:szCs w:val="20"/>
        </w:rPr>
        <w:t xml:space="preserve">It is important to note that the effectiveness of EpCAM-targeted delivery also depends on the level of EpCAM expression across different tumors. Since TNBC exhibits substantial molecular heterogeneity, future translational applications of this strategy would likely require biomarker-based patient stratification </w:t>
      </w:r>
      <w:r>
        <w:rPr>
          <w:sz w:val="20"/>
          <w:szCs w:val="20"/>
        </w:rPr>
        <w:lastRenderedPageBreak/>
        <w:t>to identify tumors with sufficient EpCAM expression for effective targeting. In addition, the current work was limited to in vitro characterization, and further in vivo studies will be necessary to evaluate pharmacokinetics, biodistribution, tumor retention, systemic toxicity, and therapeutic efficacy in animal models.</w:t>
      </w:r>
    </w:p>
    <w:p w14:paraId="39B03080" w14:textId="77777777" w:rsidR="00322548" w:rsidRDefault="004D2B7B">
      <w:pPr>
        <w:spacing w:after="200" w:line="360" w:lineRule="auto"/>
        <w:rPr>
          <w:b/>
          <w:bCs/>
          <w:sz w:val="20"/>
          <w:szCs w:val="20"/>
        </w:rPr>
      </w:pPr>
      <w:r>
        <w:rPr>
          <w:b/>
          <w:bCs/>
          <w:sz w:val="20"/>
          <w:szCs w:val="20"/>
        </w:rPr>
        <w:t>CONCLUSION</w:t>
      </w:r>
    </w:p>
    <w:p w14:paraId="37418394" w14:textId="77777777" w:rsidR="00322548" w:rsidRDefault="004D2B7B">
      <w:pPr>
        <w:spacing w:after="200" w:line="360" w:lineRule="auto"/>
        <w:rPr>
          <w:sz w:val="20"/>
          <w:szCs w:val="20"/>
        </w:rPr>
      </w:pPr>
      <w:r>
        <w:rPr>
          <w:sz w:val="20"/>
          <w:szCs w:val="20"/>
        </w:rPr>
        <w:t>In summary, we developed an EpCAM-targeted L-DNA nanostructure for the targeted delivery of doxorubicin to TNBC cells. The mirror-image DNA scaffold demonstrated strong thermal stability and significantly improved resistance to enzymatic degradation compared with conventional D-DNA nanostructures. The microscopic imaging and flow cytometry results suggest the specific targeting of the constructed nanostructure to cancer cells. In vitro cytotoxicity experiments further showed that the EpCAM-targeted nanostru</w:t>
      </w:r>
      <w:r>
        <w:rPr>
          <w:sz w:val="20"/>
          <w:szCs w:val="20"/>
        </w:rPr>
        <w:t xml:space="preserve">cture effectively inhibited the growth of EpCAM positive cancer cells while reducing toxicity toward normal cells. Overall, this work demonstrates that mirror-image DNA nanotechnology represents a promising platform for the development of stable and selective nucleic </w:t>
      </w:r>
      <w:proofErr w:type="gramStart"/>
      <w:r>
        <w:rPr>
          <w:sz w:val="20"/>
          <w:szCs w:val="20"/>
        </w:rPr>
        <w:t>acid based</w:t>
      </w:r>
      <w:proofErr w:type="gramEnd"/>
      <w:r>
        <w:rPr>
          <w:sz w:val="20"/>
          <w:szCs w:val="20"/>
        </w:rPr>
        <w:t xml:space="preserve"> drug delivery systems.</w:t>
      </w:r>
    </w:p>
    <w:p w14:paraId="67619FE0" w14:textId="77777777" w:rsidR="00322548" w:rsidRDefault="004D2B7B">
      <w:pPr>
        <w:spacing w:after="200" w:line="360" w:lineRule="auto"/>
        <w:rPr>
          <w:b/>
          <w:bCs/>
          <w:sz w:val="20"/>
          <w:szCs w:val="20"/>
        </w:rPr>
      </w:pPr>
      <w:r>
        <w:rPr>
          <w:b/>
          <w:bCs/>
          <w:sz w:val="20"/>
          <w:szCs w:val="20"/>
        </w:rPr>
        <w:t>SUPPORTING INFORMATION</w:t>
      </w:r>
    </w:p>
    <w:p w14:paraId="273F4FC9" w14:textId="77777777" w:rsidR="00322548" w:rsidRDefault="004D2B7B">
      <w:pPr>
        <w:spacing w:after="200"/>
        <w:rPr>
          <w:sz w:val="20"/>
          <w:szCs w:val="20"/>
        </w:rPr>
      </w:pPr>
      <w:r>
        <w:rPr>
          <w:sz w:val="20"/>
          <w:szCs w:val="20"/>
        </w:rPr>
        <w:t>Additional experimental details, materials and methods, including sequences of the synthetic DNAs and their MS characterizations.</w:t>
      </w:r>
    </w:p>
    <w:p w14:paraId="42E48BB7" w14:textId="77777777" w:rsidR="00322548" w:rsidRDefault="004D2B7B">
      <w:pPr>
        <w:spacing w:after="200" w:line="360" w:lineRule="auto"/>
        <w:rPr>
          <w:b/>
          <w:bCs/>
          <w:sz w:val="20"/>
          <w:szCs w:val="20"/>
        </w:rPr>
      </w:pPr>
      <w:r>
        <w:rPr>
          <w:b/>
          <w:bCs/>
          <w:sz w:val="20"/>
          <w:szCs w:val="20"/>
        </w:rPr>
        <w:t>ACKNOWLEDGEMENTS</w:t>
      </w:r>
    </w:p>
    <w:p w14:paraId="54D0C013" w14:textId="77777777" w:rsidR="00322548" w:rsidRDefault="004D2B7B">
      <w:pPr>
        <w:spacing w:after="200" w:line="360" w:lineRule="auto"/>
        <w:rPr>
          <w:sz w:val="20"/>
          <w:szCs w:val="20"/>
        </w:rPr>
      </w:pPr>
      <w:r>
        <w:rPr>
          <w:sz w:val="20"/>
          <w:szCs w:val="20"/>
        </w:rPr>
        <w:t>I would like to express my sincere gratitude to Zhang’s Lab for its generous support, valuable resources, insightful discussions, and constructive feedback, all of which were instrumental in shaping the direction and outcomes of this research. I also want to extend my heartfelt thanks to Dr. J. Meng and the Chemical Genomics Core at IUSM for spectropolarimeter analysis.</w:t>
      </w:r>
    </w:p>
    <w:p w14:paraId="67657583" w14:textId="77777777" w:rsidR="00322548" w:rsidRDefault="004D2B7B">
      <w:pPr>
        <w:spacing w:after="200" w:line="360" w:lineRule="auto"/>
        <w:rPr>
          <w:b/>
          <w:bCs/>
          <w:sz w:val="20"/>
          <w:szCs w:val="20"/>
        </w:rPr>
      </w:pPr>
      <w:r>
        <w:rPr>
          <w:b/>
          <w:bCs/>
          <w:sz w:val="20"/>
          <w:szCs w:val="20"/>
        </w:rPr>
        <w:t>FUNDING INFORMATION</w:t>
      </w:r>
    </w:p>
    <w:p w14:paraId="3A5A0FE9" w14:textId="77777777" w:rsidR="00322548" w:rsidRDefault="004D2B7B">
      <w:pPr>
        <w:spacing w:after="200" w:line="360" w:lineRule="auto"/>
        <w:rPr>
          <w:sz w:val="20"/>
          <w:szCs w:val="20"/>
        </w:rPr>
      </w:pPr>
      <w:r>
        <w:rPr>
          <w:sz w:val="20"/>
          <w:szCs w:val="20"/>
        </w:rPr>
        <w:t>This work is supported by Showalter Trust Award and 100 Voices of Hope Award.</w:t>
      </w:r>
    </w:p>
    <w:p w14:paraId="2C213802" w14:textId="77777777" w:rsidR="00322548" w:rsidRDefault="004D2B7B">
      <w:pPr>
        <w:spacing w:after="200" w:line="360" w:lineRule="auto"/>
        <w:rPr>
          <w:b/>
          <w:bCs/>
          <w:sz w:val="20"/>
          <w:szCs w:val="20"/>
        </w:rPr>
      </w:pPr>
      <w:r>
        <w:rPr>
          <w:b/>
          <w:bCs/>
          <w:sz w:val="20"/>
          <w:szCs w:val="20"/>
        </w:rPr>
        <w:t>CONFLICT OF INTEREST</w:t>
      </w:r>
    </w:p>
    <w:p w14:paraId="116E80D1" w14:textId="77777777" w:rsidR="00322548" w:rsidRDefault="004D2B7B">
      <w:pPr>
        <w:spacing w:after="200" w:line="360" w:lineRule="auto"/>
        <w:rPr>
          <w:sz w:val="20"/>
          <w:szCs w:val="20"/>
        </w:rPr>
      </w:pPr>
      <w:r>
        <w:rPr>
          <w:sz w:val="20"/>
          <w:szCs w:val="20"/>
        </w:rPr>
        <w:t>The authors declare no conflicts of interest.</w:t>
      </w:r>
    </w:p>
    <w:p w14:paraId="57508E77" w14:textId="77777777" w:rsidR="00322548" w:rsidRDefault="004D2B7B">
      <w:pPr>
        <w:spacing w:after="200" w:line="360" w:lineRule="auto"/>
        <w:rPr>
          <w:b/>
          <w:bCs/>
          <w:sz w:val="20"/>
          <w:szCs w:val="20"/>
        </w:rPr>
      </w:pPr>
      <w:r>
        <w:rPr>
          <w:b/>
          <w:bCs/>
          <w:sz w:val="20"/>
          <w:szCs w:val="20"/>
        </w:rPr>
        <w:t>Declaration of generative AI and AI-assisted technologies in the manuscript preparation process</w:t>
      </w:r>
    </w:p>
    <w:p w14:paraId="48766271" w14:textId="77777777" w:rsidR="00322548" w:rsidRDefault="004D2B7B">
      <w:pPr>
        <w:spacing w:after="200" w:line="360" w:lineRule="auto"/>
        <w:rPr>
          <w:sz w:val="20"/>
          <w:szCs w:val="20"/>
        </w:rPr>
      </w:pPr>
      <w:r>
        <w:rPr>
          <w:sz w:val="20"/>
          <w:szCs w:val="20"/>
        </w:rPr>
        <w:t xml:space="preserve">During the preparation of this work, the authors used ChatGPT to enhance readability. After using ChatGPT, the authors reviewed and edited the content as needed and </w:t>
      </w:r>
      <w:proofErr w:type="gramStart"/>
      <w:r>
        <w:rPr>
          <w:sz w:val="20"/>
          <w:szCs w:val="20"/>
        </w:rPr>
        <w:t>take</w:t>
      </w:r>
      <w:proofErr w:type="gramEnd"/>
      <w:r>
        <w:rPr>
          <w:sz w:val="20"/>
          <w:szCs w:val="20"/>
        </w:rPr>
        <w:t xml:space="preserve"> full responsibility for the content of the published article.</w:t>
      </w:r>
    </w:p>
    <w:p w14:paraId="0760C60B" w14:textId="77777777" w:rsidR="005B59E9" w:rsidRDefault="005B59E9">
      <w:pPr>
        <w:spacing w:after="200" w:line="360" w:lineRule="auto"/>
        <w:rPr>
          <w:b/>
          <w:bCs/>
          <w:sz w:val="20"/>
          <w:szCs w:val="20"/>
        </w:rPr>
      </w:pPr>
    </w:p>
    <w:p w14:paraId="49EF3725" w14:textId="32C33F51" w:rsidR="00322548" w:rsidRDefault="004D2B7B">
      <w:pPr>
        <w:spacing w:after="200" w:line="360" w:lineRule="auto"/>
        <w:rPr>
          <w:b/>
          <w:bCs/>
          <w:sz w:val="20"/>
          <w:szCs w:val="20"/>
        </w:rPr>
      </w:pPr>
      <w:r>
        <w:rPr>
          <w:b/>
          <w:bCs/>
          <w:sz w:val="20"/>
          <w:szCs w:val="20"/>
        </w:rPr>
        <w:t>REFERENCES</w:t>
      </w:r>
    </w:p>
    <w:p w14:paraId="7923746F" w14:textId="77777777" w:rsidR="00322548" w:rsidRDefault="004D2B7B">
      <w:pPr>
        <w:spacing w:line="240" w:lineRule="auto"/>
      </w:pPr>
      <w:r>
        <w:t xml:space="preserve">(1) Bianchini, G.; Balko, J. M.; Mayer, I. A.; Sanders, M. E.; Gianni, L. Triple-negative breast cancer: challenges and opportunities of a heterogeneous disease. </w:t>
      </w:r>
      <w:r>
        <w:rPr>
          <w:i/>
          <w:iCs/>
        </w:rPr>
        <w:t xml:space="preserve">Nature Reviews Clinical Oncology </w:t>
      </w:r>
      <w:r>
        <w:rPr>
          <w:b/>
          <w:bCs/>
        </w:rPr>
        <w:t>2016</w:t>
      </w:r>
      <w:r>
        <w:t xml:space="preserve">, </w:t>
      </w:r>
      <w:r>
        <w:rPr>
          <w:i/>
          <w:iCs/>
        </w:rPr>
        <w:t>13</w:t>
      </w:r>
      <w:r>
        <w:t xml:space="preserve"> (11), 674-690.</w:t>
      </w:r>
    </w:p>
    <w:p w14:paraId="6036C480" w14:textId="77777777" w:rsidR="00322548" w:rsidRDefault="004D2B7B">
      <w:pPr>
        <w:spacing w:line="240" w:lineRule="auto"/>
      </w:pPr>
      <w:r>
        <w:t xml:space="preserve">(2) Al-Malky, H. S.; Al Harthi, S. E.; Osman, A.-M. M. Major obstacles to doxorubicin therapy: Cardiotoxicity and drug resistance. </w:t>
      </w:r>
      <w:r>
        <w:rPr>
          <w:i/>
          <w:iCs/>
        </w:rPr>
        <w:t xml:space="preserve">Journal of Oncology Pharmacy Practice </w:t>
      </w:r>
      <w:r>
        <w:rPr>
          <w:b/>
          <w:bCs/>
        </w:rPr>
        <w:t>2020</w:t>
      </w:r>
      <w:r>
        <w:t xml:space="preserve">, </w:t>
      </w:r>
      <w:r>
        <w:rPr>
          <w:i/>
          <w:iCs/>
        </w:rPr>
        <w:t>26</w:t>
      </w:r>
      <w:r>
        <w:t xml:space="preserve"> (2), 434-444.</w:t>
      </w:r>
    </w:p>
    <w:p w14:paraId="301D5E35" w14:textId="77777777" w:rsidR="00322548" w:rsidRDefault="004D2B7B">
      <w:pPr>
        <w:spacing w:line="240" w:lineRule="auto"/>
      </w:pPr>
      <w:r>
        <w:t xml:space="preserve">(3) Peer, D.; Karp, J. M.; Hong, S.; </w:t>
      </w:r>
      <w:proofErr w:type="spellStart"/>
      <w:r>
        <w:t>Farokhzad</w:t>
      </w:r>
      <w:proofErr w:type="spellEnd"/>
      <w:r>
        <w:t xml:space="preserve">, O. C.; Margalit, R.; Langer, R. Nanocarriers as an emerging platform for cancer therapy. </w:t>
      </w:r>
      <w:r>
        <w:rPr>
          <w:i/>
          <w:iCs/>
        </w:rPr>
        <w:t xml:space="preserve">Nano-enabled medical applications </w:t>
      </w:r>
      <w:r>
        <w:rPr>
          <w:b/>
          <w:bCs/>
        </w:rPr>
        <w:t>2020</w:t>
      </w:r>
      <w:r>
        <w:t>, 61-91.</w:t>
      </w:r>
    </w:p>
    <w:p w14:paraId="71B3ECD2" w14:textId="77777777" w:rsidR="00322548" w:rsidRDefault="004D2B7B">
      <w:pPr>
        <w:spacing w:line="240" w:lineRule="auto"/>
      </w:pPr>
      <w:r>
        <w:t xml:space="preserve">(4) Pray, L. Discovery of DNA structure and function: Watson and Crick. </w:t>
      </w:r>
      <w:r>
        <w:rPr>
          <w:i/>
          <w:iCs/>
        </w:rPr>
        <w:t xml:space="preserve">Nat. Edu. </w:t>
      </w:r>
      <w:r>
        <w:rPr>
          <w:b/>
          <w:bCs/>
        </w:rPr>
        <w:t>2008</w:t>
      </w:r>
      <w:r>
        <w:t xml:space="preserve">, </w:t>
      </w:r>
      <w:r>
        <w:rPr>
          <w:i/>
          <w:iCs/>
        </w:rPr>
        <w:t>1</w:t>
      </w:r>
      <w:r>
        <w:t xml:space="preserve"> (1), 100.</w:t>
      </w:r>
    </w:p>
    <w:p w14:paraId="1E911EC4" w14:textId="77777777" w:rsidR="00322548" w:rsidRDefault="004D2B7B">
      <w:pPr>
        <w:spacing w:line="240" w:lineRule="auto"/>
      </w:pPr>
      <w:r>
        <w:t xml:space="preserve">(5) Guo, P. The emerging field of RNA nanotechnology. </w:t>
      </w:r>
      <w:r>
        <w:rPr>
          <w:i/>
          <w:iCs/>
        </w:rPr>
        <w:t xml:space="preserve">Nat. </w:t>
      </w:r>
      <w:proofErr w:type="spellStart"/>
      <w:r>
        <w:rPr>
          <w:i/>
          <w:iCs/>
        </w:rPr>
        <w:t>Nanotechnol</w:t>
      </w:r>
      <w:proofErr w:type="spellEnd"/>
      <w:r>
        <w:rPr>
          <w:i/>
          <w:iCs/>
        </w:rPr>
        <w:t xml:space="preserve">. </w:t>
      </w:r>
      <w:r>
        <w:rPr>
          <w:b/>
          <w:bCs/>
        </w:rPr>
        <w:t>2010</w:t>
      </w:r>
      <w:r>
        <w:t xml:space="preserve">, </w:t>
      </w:r>
      <w:r>
        <w:rPr>
          <w:i/>
          <w:iCs/>
        </w:rPr>
        <w:t>5</w:t>
      </w:r>
      <w:r>
        <w:t xml:space="preserve"> (12), 833-842.</w:t>
      </w:r>
    </w:p>
    <w:p w14:paraId="4055FD06" w14:textId="77777777" w:rsidR="00322548" w:rsidRDefault="004D2B7B">
      <w:pPr>
        <w:spacing w:line="240" w:lineRule="auto"/>
      </w:pPr>
      <w:r>
        <w:t xml:space="preserve">(6) Jasinski, D.; Haque, F.; Binzel, D. W.; Guo, P. Advancement of the emerging field of RNA nanotechnology. </w:t>
      </w:r>
      <w:r>
        <w:rPr>
          <w:i/>
          <w:iCs/>
        </w:rPr>
        <w:t xml:space="preserve">ACS Nano </w:t>
      </w:r>
      <w:r>
        <w:rPr>
          <w:b/>
          <w:bCs/>
        </w:rPr>
        <w:t>2017</w:t>
      </w:r>
      <w:r>
        <w:t xml:space="preserve">, </w:t>
      </w:r>
      <w:r>
        <w:rPr>
          <w:i/>
          <w:iCs/>
        </w:rPr>
        <w:t>11</w:t>
      </w:r>
      <w:r>
        <w:t xml:space="preserve"> (2), 1142-1164.</w:t>
      </w:r>
    </w:p>
    <w:p w14:paraId="3DD8B562" w14:textId="77777777" w:rsidR="00322548" w:rsidRDefault="004D2B7B">
      <w:pPr>
        <w:spacing w:line="240" w:lineRule="auto"/>
      </w:pPr>
      <w:r>
        <w:t xml:space="preserve">(7) Guo, P. RNA nanotechnology: engineering, assembly and applications in detection, gene delivery and therapy. </w:t>
      </w:r>
      <w:r>
        <w:rPr>
          <w:i/>
          <w:iCs/>
        </w:rPr>
        <w:t xml:space="preserve">J. </w:t>
      </w:r>
      <w:proofErr w:type="spellStart"/>
      <w:r>
        <w:rPr>
          <w:i/>
          <w:iCs/>
        </w:rPr>
        <w:t>Nanosci</w:t>
      </w:r>
      <w:proofErr w:type="spellEnd"/>
      <w:r>
        <w:rPr>
          <w:i/>
          <w:iCs/>
        </w:rPr>
        <w:t xml:space="preserve">. </w:t>
      </w:r>
      <w:proofErr w:type="spellStart"/>
      <w:r>
        <w:rPr>
          <w:i/>
          <w:iCs/>
        </w:rPr>
        <w:t>Nanotechnol</w:t>
      </w:r>
      <w:proofErr w:type="spellEnd"/>
      <w:r>
        <w:rPr>
          <w:i/>
          <w:iCs/>
        </w:rPr>
        <w:t xml:space="preserve">. </w:t>
      </w:r>
      <w:r>
        <w:rPr>
          <w:b/>
          <w:bCs/>
        </w:rPr>
        <w:t>2005</w:t>
      </w:r>
      <w:r>
        <w:t xml:space="preserve">, </w:t>
      </w:r>
      <w:r>
        <w:rPr>
          <w:i/>
          <w:iCs/>
        </w:rPr>
        <w:t>5</w:t>
      </w:r>
      <w:r>
        <w:t xml:space="preserve"> (12), 1964-1982.</w:t>
      </w:r>
    </w:p>
    <w:p w14:paraId="3DB34126" w14:textId="77777777" w:rsidR="00322548" w:rsidRDefault="004D2B7B">
      <w:pPr>
        <w:spacing w:line="240" w:lineRule="auto"/>
      </w:pPr>
      <w:r>
        <w:t xml:space="preserve">(8) Tsui, N. B.; Ng, E. K.; Lo, Y. D. Stability of endogenous and added RNA in blood specimens, serum, and plasma. </w:t>
      </w:r>
      <w:r>
        <w:rPr>
          <w:i/>
          <w:iCs/>
        </w:rPr>
        <w:t xml:space="preserve">Clin. Chem. </w:t>
      </w:r>
      <w:r>
        <w:rPr>
          <w:b/>
          <w:bCs/>
        </w:rPr>
        <w:t>2002</w:t>
      </w:r>
      <w:r>
        <w:t xml:space="preserve">, </w:t>
      </w:r>
      <w:r>
        <w:rPr>
          <w:i/>
          <w:iCs/>
        </w:rPr>
        <w:t>48</w:t>
      </w:r>
      <w:r>
        <w:t xml:space="preserve"> (10), 1647-1653.</w:t>
      </w:r>
    </w:p>
    <w:p w14:paraId="20D732C3" w14:textId="77777777" w:rsidR="00322548" w:rsidRDefault="004D2B7B">
      <w:pPr>
        <w:spacing w:line="240" w:lineRule="auto"/>
      </w:pPr>
      <w:r>
        <w:t xml:space="preserve">(9) </w:t>
      </w:r>
      <w:proofErr w:type="spellStart"/>
      <w:r>
        <w:t>Abdelmawla</w:t>
      </w:r>
      <w:proofErr w:type="spellEnd"/>
      <w:r>
        <w:t xml:space="preserve">, S.; Guo, S.; Zhang, L.; </w:t>
      </w:r>
      <w:proofErr w:type="spellStart"/>
      <w:r>
        <w:t>Pulukuri</w:t>
      </w:r>
      <w:proofErr w:type="spellEnd"/>
      <w:r>
        <w:t xml:space="preserve">, S. M.; Patankar, P.; Conley, P.; </w:t>
      </w:r>
      <w:proofErr w:type="spellStart"/>
      <w:r>
        <w:t>Trebley</w:t>
      </w:r>
      <w:proofErr w:type="spellEnd"/>
      <w:r>
        <w:t xml:space="preserve">, J.; Guo, P.; Li, Q.-X. Pharmacological characterization of chemically synthesized monomeric phi29 </w:t>
      </w:r>
      <w:proofErr w:type="spellStart"/>
      <w:r>
        <w:t>pRNA</w:t>
      </w:r>
      <w:proofErr w:type="spellEnd"/>
      <w:r>
        <w:t xml:space="preserve"> nanoparticles for systemic delivery. </w:t>
      </w:r>
      <w:r>
        <w:rPr>
          <w:i/>
          <w:iCs/>
        </w:rPr>
        <w:t xml:space="preserve">Mol. Ther. </w:t>
      </w:r>
      <w:r>
        <w:rPr>
          <w:b/>
          <w:bCs/>
        </w:rPr>
        <w:t>2011</w:t>
      </w:r>
      <w:r>
        <w:t xml:space="preserve">, </w:t>
      </w:r>
      <w:r>
        <w:rPr>
          <w:i/>
          <w:iCs/>
        </w:rPr>
        <w:t>19</w:t>
      </w:r>
      <w:r>
        <w:t xml:space="preserve"> (7), 1312-1322.</w:t>
      </w:r>
    </w:p>
    <w:p w14:paraId="7AC32227" w14:textId="77777777" w:rsidR="00322548" w:rsidRDefault="004D2B7B">
      <w:pPr>
        <w:spacing w:line="240" w:lineRule="auto"/>
      </w:pPr>
      <w:r>
        <w:t xml:space="preserve">(10) Paredes, E.; Evans, M.; Das, S. R. RNA labeling, conjugation and ligation. </w:t>
      </w:r>
      <w:r>
        <w:rPr>
          <w:i/>
          <w:iCs/>
        </w:rPr>
        <w:t xml:space="preserve">Methods </w:t>
      </w:r>
      <w:r>
        <w:rPr>
          <w:b/>
          <w:bCs/>
        </w:rPr>
        <w:t>2011</w:t>
      </w:r>
      <w:r>
        <w:t xml:space="preserve">, </w:t>
      </w:r>
      <w:r>
        <w:rPr>
          <w:i/>
          <w:iCs/>
        </w:rPr>
        <w:t>54</w:t>
      </w:r>
      <w:r>
        <w:t xml:space="preserve"> (2), 251-259.</w:t>
      </w:r>
    </w:p>
    <w:p w14:paraId="2B021EAA" w14:textId="77777777" w:rsidR="00322548" w:rsidRDefault="004D2B7B">
      <w:pPr>
        <w:spacing w:line="240" w:lineRule="auto"/>
      </w:pPr>
      <w:r>
        <w:t xml:space="preserve">(11) Ashley, G. W. Modeling, synthesis, and hybridization properties of (L)-ribonucleic acid. </w:t>
      </w:r>
      <w:r>
        <w:rPr>
          <w:i/>
          <w:iCs/>
        </w:rPr>
        <w:t xml:space="preserve">J. Am. Chem. Soc. </w:t>
      </w:r>
      <w:r>
        <w:rPr>
          <w:b/>
          <w:bCs/>
        </w:rPr>
        <w:t>1992</w:t>
      </w:r>
      <w:r>
        <w:t xml:space="preserve">, </w:t>
      </w:r>
      <w:r>
        <w:rPr>
          <w:i/>
          <w:iCs/>
        </w:rPr>
        <w:t>114</w:t>
      </w:r>
      <w:r>
        <w:t xml:space="preserve"> (25), 9731-9736.</w:t>
      </w:r>
    </w:p>
    <w:p w14:paraId="0B5F3A33" w14:textId="77777777" w:rsidR="00322548" w:rsidRDefault="004D2B7B">
      <w:pPr>
        <w:spacing w:line="240" w:lineRule="auto"/>
      </w:pPr>
      <w:r>
        <w:t>(12) Young, B. E.; Kundu, N.; Sczepanski, J. T. Mirror</w:t>
      </w:r>
      <w:r>
        <w:rPr>
          <w:rFonts w:ascii="Cambria Math" w:eastAsia="Cambria Math" w:hAnsi="Cambria Math" w:cs="Cambria Math"/>
        </w:rPr>
        <w:t>‐</w:t>
      </w:r>
      <w:r>
        <w:t xml:space="preserve">image oligonucleotides: history and emerging applications. </w:t>
      </w:r>
      <w:r>
        <w:rPr>
          <w:i/>
          <w:iCs/>
        </w:rPr>
        <w:t xml:space="preserve">Chem. Eur. J. </w:t>
      </w:r>
      <w:r>
        <w:rPr>
          <w:b/>
          <w:bCs/>
        </w:rPr>
        <w:t>2019</w:t>
      </w:r>
      <w:r>
        <w:t xml:space="preserve">, </w:t>
      </w:r>
      <w:r>
        <w:rPr>
          <w:i/>
          <w:iCs/>
        </w:rPr>
        <w:t>25</w:t>
      </w:r>
      <w:r>
        <w:t xml:space="preserve"> (34), 7981-7990.</w:t>
      </w:r>
    </w:p>
    <w:p w14:paraId="5F487338" w14:textId="77777777" w:rsidR="00322548" w:rsidRDefault="004D2B7B">
      <w:pPr>
        <w:spacing w:line="240" w:lineRule="auto"/>
      </w:pPr>
      <w:r>
        <w:t xml:space="preserve">(13) </w:t>
      </w:r>
      <w:proofErr w:type="spellStart"/>
      <w:r>
        <w:t>Dantsu</w:t>
      </w:r>
      <w:proofErr w:type="spellEnd"/>
      <w:r>
        <w:t xml:space="preserve">, Y.; Zhang, Y.; Zhang, W. Advances in therapeutic L-nucleosides and L-nucleic acids with unusual handedness. </w:t>
      </w:r>
      <w:r>
        <w:rPr>
          <w:i/>
          <w:iCs/>
        </w:rPr>
        <w:t xml:space="preserve">Genes </w:t>
      </w:r>
      <w:r>
        <w:rPr>
          <w:b/>
          <w:bCs/>
        </w:rPr>
        <w:t>2022</w:t>
      </w:r>
      <w:r>
        <w:t xml:space="preserve">, </w:t>
      </w:r>
      <w:r>
        <w:rPr>
          <w:i/>
          <w:iCs/>
        </w:rPr>
        <w:t>13</w:t>
      </w:r>
      <w:r>
        <w:t xml:space="preserve"> (1), 46.</w:t>
      </w:r>
    </w:p>
    <w:p w14:paraId="79790A20" w14:textId="77777777" w:rsidR="00322548" w:rsidRDefault="004D2B7B">
      <w:pPr>
        <w:spacing w:line="240" w:lineRule="auto"/>
      </w:pPr>
      <w:r>
        <w:t xml:space="preserve">(14) </w:t>
      </w:r>
      <w:proofErr w:type="spellStart"/>
      <w:r>
        <w:t>Dantsu</w:t>
      </w:r>
      <w:proofErr w:type="spellEnd"/>
      <w:r>
        <w:t>, Y.; Zhang, W. Derivatization of Mirror</w:t>
      </w:r>
      <w:r>
        <w:rPr>
          <w:rFonts w:ascii="Cambria Math" w:eastAsia="Cambria Math" w:hAnsi="Cambria Math" w:cs="Cambria Math"/>
        </w:rPr>
        <w:t>‐</w:t>
      </w:r>
      <w:r>
        <w:t>image L</w:t>
      </w:r>
      <w:r>
        <w:rPr>
          <w:rFonts w:ascii="Cambria Math" w:eastAsia="Cambria Math" w:hAnsi="Cambria Math" w:cs="Cambria Math"/>
        </w:rPr>
        <w:t>‐</w:t>
      </w:r>
      <w:r>
        <w:t>Nucleic Acids with 2'</w:t>
      </w:r>
      <w:r>
        <w:rPr>
          <w:rFonts w:ascii="Cambria Math" w:eastAsia="Cambria Math" w:hAnsi="Cambria Math" w:cs="Cambria Math"/>
        </w:rPr>
        <w:t>‐</w:t>
      </w:r>
      <w:r>
        <w:t xml:space="preserve">OMe Modification for Thermal and Structural Stabilization. </w:t>
      </w:r>
      <w:proofErr w:type="spellStart"/>
      <w:r>
        <w:rPr>
          <w:i/>
          <w:iCs/>
        </w:rPr>
        <w:t>ChemBioChem</w:t>
      </w:r>
      <w:proofErr w:type="spellEnd"/>
      <w:r>
        <w:rPr>
          <w:i/>
          <w:iCs/>
        </w:rPr>
        <w:t xml:space="preserve"> </w:t>
      </w:r>
      <w:r>
        <w:rPr>
          <w:b/>
          <w:bCs/>
        </w:rPr>
        <w:t>2023</w:t>
      </w:r>
      <w:r>
        <w:t>, e202200764.</w:t>
      </w:r>
    </w:p>
    <w:p w14:paraId="33866536" w14:textId="77777777" w:rsidR="00322548" w:rsidRDefault="004D2B7B">
      <w:pPr>
        <w:spacing w:line="240" w:lineRule="auto"/>
      </w:pPr>
      <w:r>
        <w:t xml:space="preserve">(15) </w:t>
      </w:r>
      <w:proofErr w:type="spellStart"/>
      <w:r>
        <w:t>Dantsu</w:t>
      </w:r>
      <w:proofErr w:type="spellEnd"/>
      <w:r>
        <w:t>, Y.; Zhang, Y.; Zhang, W. Synthesis of 2′</w:t>
      </w:r>
      <w:r>
        <w:rPr>
          <w:rFonts w:ascii="Cambria Math" w:eastAsia="Cambria Math" w:hAnsi="Cambria Math" w:cs="Cambria Math"/>
        </w:rPr>
        <w:t>‐</w:t>
      </w:r>
      <w:r>
        <w:t>Deoxy</w:t>
      </w:r>
      <w:r>
        <w:rPr>
          <w:rFonts w:ascii="Cambria Math" w:eastAsia="Cambria Math" w:hAnsi="Cambria Math" w:cs="Cambria Math"/>
        </w:rPr>
        <w:t>‐</w:t>
      </w:r>
      <w:r>
        <w:t>2′</w:t>
      </w:r>
      <w:r>
        <w:rPr>
          <w:rFonts w:ascii="Cambria Math" w:eastAsia="Cambria Math" w:hAnsi="Cambria Math" w:cs="Cambria Math"/>
        </w:rPr>
        <w:t>‐</w:t>
      </w:r>
      <w:r>
        <w:t>fluoro</w:t>
      </w:r>
      <w:r>
        <w:rPr>
          <w:rFonts w:ascii="Cambria Math" w:eastAsia="Cambria Math" w:hAnsi="Cambria Math" w:cs="Cambria Math"/>
        </w:rPr>
        <w:t>‐</w:t>
      </w:r>
      <w:r>
        <w:t>L</w:t>
      </w:r>
      <w:r>
        <w:rPr>
          <w:rFonts w:ascii="Cambria Math" w:eastAsia="Cambria Math" w:hAnsi="Cambria Math" w:cs="Cambria Math"/>
        </w:rPr>
        <w:t>‐</w:t>
      </w:r>
      <w:r>
        <w:t>cytidine and Fluorinated L</w:t>
      </w:r>
      <w:r>
        <w:rPr>
          <w:rFonts w:ascii="Cambria Math" w:eastAsia="Cambria Math" w:hAnsi="Cambria Math" w:cs="Cambria Math"/>
        </w:rPr>
        <w:t>‐</w:t>
      </w:r>
      <w:r>
        <w:t xml:space="preserve">Nucleic Acids for Structural Studies. </w:t>
      </w:r>
      <w:proofErr w:type="spellStart"/>
      <w:proofErr w:type="gramStart"/>
      <w:r>
        <w:rPr>
          <w:i/>
          <w:iCs/>
        </w:rPr>
        <w:t>ChemistrySelect</w:t>
      </w:r>
      <w:proofErr w:type="spellEnd"/>
      <w:proofErr w:type="gramEnd"/>
      <w:r>
        <w:rPr>
          <w:i/>
          <w:iCs/>
        </w:rPr>
        <w:t xml:space="preserve"> </w:t>
      </w:r>
      <w:r>
        <w:rPr>
          <w:b/>
          <w:bCs/>
        </w:rPr>
        <w:t>2021</w:t>
      </w:r>
      <w:r>
        <w:t xml:space="preserve">, </w:t>
      </w:r>
      <w:r>
        <w:rPr>
          <w:i/>
          <w:iCs/>
        </w:rPr>
        <w:t>6</w:t>
      </w:r>
      <w:r>
        <w:t xml:space="preserve"> (39), 10597-10600.</w:t>
      </w:r>
    </w:p>
    <w:p w14:paraId="45E59E8F" w14:textId="77777777" w:rsidR="00322548" w:rsidRDefault="004D2B7B">
      <w:pPr>
        <w:spacing w:line="240" w:lineRule="auto"/>
      </w:pPr>
      <w:r>
        <w:t xml:space="preserve">(16) </w:t>
      </w:r>
      <w:proofErr w:type="spellStart"/>
      <w:r>
        <w:t>Dantsu</w:t>
      </w:r>
      <w:proofErr w:type="spellEnd"/>
      <w:r>
        <w:t xml:space="preserve">, Y.; Zhang, Y.; Zhang, W. Synthesis and Structural Characterization of </w:t>
      </w:r>
      <w:proofErr w:type="gramStart"/>
      <w:r>
        <w:t>2′-</w:t>
      </w:r>
      <w:proofErr w:type="gramEnd"/>
      <w:r>
        <w:t>Deoxy-</w:t>
      </w:r>
      <w:proofErr w:type="gramStart"/>
      <w:r>
        <w:t>2′-</w:t>
      </w:r>
      <w:proofErr w:type="gramEnd"/>
      <w:r>
        <w:t>fluoro</w:t>
      </w:r>
      <w:proofErr w:type="gramStart"/>
      <w:r>
        <w:t>-l</w:t>
      </w:r>
      <w:proofErr w:type="gramEnd"/>
      <w:r>
        <w:t xml:space="preserve">-uridine Nucleic Acids. </w:t>
      </w:r>
      <w:r>
        <w:rPr>
          <w:i/>
          <w:iCs/>
        </w:rPr>
        <w:t xml:space="preserve">Org. Lett. </w:t>
      </w:r>
      <w:r>
        <w:rPr>
          <w:b/>
          <w:bCs/>
        </w:rPr>
        <w:t>2021</w:t>
      </w:r>
      <w:r>
        <w:t xml:space="preserve">, </w:t>
      </w:r>
      <w:r>
        <w:rPr>
          <w:i/>
          <w:iCs/>
        </w:rPr>
        <w:t>23</w:t>
      </w:r>
      <w:r>
        <w:t xml:space="preserve"> (13), 5007-5011.</w:t>
      </w:r>
    </w:p>
    <w:p w14:paraId="1500BAE7" w14:textId="77777777" w:rsidR="00322548" w:rsidRDefault="004D2B7B">
      <w:pPr>
        <w:spacing w:line="240" w:lineRule="auto"/>
      </w:pPr>
      <w:r>
        <w:t xml:space="preserve">(17) </w:t>
      </w:r>
      <w:proofErr w:type="spellStart"/>
      <w:r>
        <w:t>Kabza</w:t>
      </w:r>
      <w:proofErr w:type="spellEnd"/>
      <w:r>
        <w:t>, A. M.; Sczepanski, J. T. An l</w:t>
      </w:r>
      <w:r>
        <w:rPr>
          <w:rFonts w:ascii="Cambria Math" w:eastAsia="Cambria Math" w:hAnsi="Cambria Math" w:cs="Cambria Math"/>
        </w:rPr>
        <w:t>‐</w:t>
      </w:r>
      <w:r>
        <w:t xml:space="preserve">RNA Aptamer with Expanded Chemical Functionality that Inhibits MicroRNA Biogenesis. </w:t>
      </w:r>
      <w:proofErr w:type="spellStart"/>
      <w:r>
        <w:rPr>
          <w:i/>
          <w:iCs/>
        </w:rPr>
        <w:t>ChemBioChem</w:t>
      </w:r>
      <w:proofErr w:type="spellEnd"/>
      <w:r>
        <w:rPr>
          <w:i/>
          <w:iCs/>
        </w:rPr>
        <w:t xml:space="preserve"> </w:t>
      </w:r>
      <w:r>
        <w:rPr>
          <w:b/>
          <w:bCs/>
        </w:rPr>
        <w:t>2017</w:t>
      </w:r>
      <w:r>
        <w:t xml:space="preserve">, </w:t>
      </w:r>
      <w:r>
        <w:rPr>
          <w:i/>
          <w:iCs/>
        </w:rPr>
        <w:t>18</w:t>
      </w:r>
      <w:r>
        <w:t xml:space="preserve"> (18), 1824-1827.</w:t>
      </w:r>
    </w:p>
    <w:p w14:paraId="580EF96C" w14:textId="77777777" w:rsidR="00322548" w:rsidRDefault="004D2B7B">
      <w:pPr>
        <w:spacing w:line="240" w:lineRule="auto"/>
      </w:pPr>
      <w:r>
        <w:t xml:space="preserve">(18) Vater, A.; Klussmann, S. Turning mirror-image oligonucleotides into drugs: the evolution of </w:t>
      </w:r>
      <w:proofErr w:type="spellStart"/>
      <w:r>
        <w:t>Spiegelmer</w:t>
      </w:r>
      <w:proofErr w:type="spellEnd"/>
      <w:r>
        <w:t xml:space="preserve">® therapeutics. </w:t>
      </w:r>
      <w:r>
        <w:rPr>
          <w:i/>
          <w:iCs/>
        </w:rPr>
        <w:t xml:space="preserve">Drug </w:t>
      </w:r>
      <w:proofErr w:type="spellStart"/>
      <w:r>
        <w:rPr>
          <w:i/>
          <w:iCs/>
        </w:rPr>
        <w:t>Discov</w:t>
      </w:r>
      <w:proofErr w:type="spellEnd"/>
      <w:r>
        <w:rPr>
          <w:i/>
          <w:iCs/>
        </w:rPr>
        <w:t xml:space="preserve">. Today </w:t>
      </w:r>
      <w:r>
        <w:rPr>
          <w:b/>
          <w:bCs/>
        </w:rPr>
        <w:t>2015</w:t>
      </w:r>
      <w:r>
        <w:t xml:space="preserve">, </w:t>
      </w:r>
      <w:r>
        <w:rPr>
          <w:i/>
          <w:iCs/>
        </w:rPr>
        <w:t>20</w:t>
      </w:r>
      <w:r>
        <w:t xml:space="preserve"> (1), 147-155.</w:t>
      </w:r>
    </w:p>
    <w:p w14:paraId="51838557" w14:textId="77777777" w:rsidR="00322548" w:rsidRDefault="004D2B7B">
      <w:pPr>
        <w:spacing w:line="240" w:lineRule="auto"/>
      </w:pPr>
      <w:r>
        <w:t xml:space="preserve">(19) Sczepanski, J. T.; Joyce, G. F. Specific inhibition of microRNA processing using L-RNA aptamers. </w:t>
      </w:r>
      <w:r>
        <w:rPr>
          <w:i/>
          <w:iCs/>
        </w:rPr>
        <w:t xml:space="preserve">J. Am. Chem. Soc. </w:t>
      </w:r>
      <w:r>
        <w:rPr>
          <w:b/>
          <w:bCs/>
        </w:rPr>
        <w:t>2015</w:t>
      </w:r>
      <w:r>
        <w:t xml:space="preserve">, </w:t>
      </w:r>
      <w:r>
        <w:rPr>
          <w:i/>
          <w:iCs/>
        </w:rPr>
        <w:t>137</w:t>
      </w:r>
      <w:r>
        <w:t xml:space="preserve"> (51), 16032-16037.</w:t>
      </w:r>
    </w:p>
    <w:p w14:paraId="3D9F4408" w14:textId="77777777" w:rsidR="00322548" w:rsidRDefault="004D2B7B">
      <w:pPr>
        <w:spacing w:line="240" w:lineRule="auto"/>
      </w:pPr>
      <w:r>
        <w:t xml:space="preserve">(20) Sczepanski, J. T.; Joyce, G. F. Binding of a structured D-RNA molecule by an L-RNA aptamer. </w:t>
      </w:r>
      <w:r>
        <w:rPr>
          <w:i/>
          <w:iCs/>
        </w:rPr>
        <w:t xml:space="preserve">J. Am. Chem. Soc. </w:t>
      </w:r>
      <w:r>
        <w:rPr>
          <w:b/>
          <w:bCs/>
        </w:rPr>
        <w:t>2013</w:t>
      </w:r>
      <w:r>
        <w:t xml:space="preserve">, </w:t>
      </w:r>
      <w:r>
        <w:rPr>
          <w:i/>
          <w:iCs/>
        </w:rPr>
        <w:t>135</w:t>
      </w:r>
      <w:r>
        <w:t xml:space="preserve"> (36), 13290-13293.</w:t>
      </w:r>
    </w:p>
    <w:p w14:paraId="2201B030" w14:textId="77777777" w:rsidR="00322548" w:rsidRDefault="004D2B7B">
      <w:pPr>
        <w:spacing w:line="240" w:lineRule="auto"/>
      </w:pPr>
      <w:r>
        <w:t xml:space="preserve">(21) Li, J.; Sczepanski, J. T. Targeting a conserved structural element from the SARS-CoV-2 genome using l-DNA aptamers. </w:t>
      </w:r>
      <w:r>
        <w:rPr>
          <w:i/>
          <w:iCs/>
        </w:rPr>
        <w:t xml:space="preserve">RSC Chem. Biol. </w:t>
      </w:r>
      <w:r>
        <w:rPr>
          <w:b/>
          <w:bCs/>
        </w:rPr>
        <w:t>2022</w:t>
      </w:r>
      <w:r>
        <w:t xml:space="preserve">, </w:t>
      </w:r>
      <w:r>
        <w:rPr>
          <w:i/>
          <w:iCs/>
        </w:rPr>
        <w:t>3</w:t>
      </w:r>
      <w:r>
        <w:t xml:space="preserve"> (1), 79-84.</w:t>
      </w:r>
    </w:p>
    <w:p w14:paraId="35D0EDA4" w14:textId="77777777" w:rsidR="00322548" w:rsidRDefault="004D2B7B">
      <w:pPr>
        <w:spacing w:line="240" w:lineRule="auto"/>
      </w:pPr>
      <w:r>
        <w:lastRenderedPageBreak/>
        <w:t xml:space="preserve">(22) Thai, H. B. D.; Kim, K.-R.; Hong, K. T.; </w:t>
      </w:r>
      <w:proofErr w:type="spellStart"/>
      <w:r>
        <w:t>Voitsitskyi</w:t>
      </w:r>
      <w:proofErr w:type="spellEnd"/>
      <w:r>
        <w:t xml:space="preserve">, T.; Lee, J.-S.; Mao, C.; Ahn, D.-R. Kidney-targeted cytosolic delivery of siRNA using a small-sized mirror DNA tetrahedron for enhanced potency. </w:t>
      </w:r>
      <w:r>
        <w:rPr>
          <w:i/>
          <w:iCs/>
        </w:rPr>
        <w:t xml:space="preserve">ACS Cent. Sci. </w:t>
      </w:r>
      <w:r>
        <w:rPr>
          <w:b/>
          <w:bCs/>
        </w:rPr>
        <w:t>2020</w:t>
      </w:r>
      <w:r>
        <w:t xml:space="preserve">, </w:t>
      </w:r>
      <w:r>
        <w:rPr>
          <w:i/>
          <w:iCs/>
        </w:rPr>
        <w:t>6</w:t>
      </w:r>
      <w:r>
        <w:t xml:space="preserve"> (12), 2250-2258.</w:t>
      </w:r>
    </w:p>
    <w:p w14:paraId="2B397C01" w14:textId="77777777" w:rsidR="00322548" w:rsidRDefault="004D2B7B">
      <w:pPr>
        <w:spacing w:line="240" w:lineRule="auto"/>
      </w:pPr>
      <w:r>
        <w:t xml:space="preserve">(23) Li, S.; Liu, Y.; He, M.; Yang, Y.; He, S.; Hu, H.; Xiong, M.; Lyu, Y. Mirror-image DNA </w:t>
      </w:r>
      <w:proofErr w:type="spellStart"/>
      <w:r>
        <w:t>nanobox</w:t>
      </w:r>
      <w:proofErr w:type="spellEnd"/>
      <w:r>
        <w:t xml:space="preserve"> for enhancing environment resistance of nucleic acid probes. </w:t>
      </w:r>
      <w:r>
        <w:rPr>
          <w:i/>
          <w:iCs/>
        </w:rPr>
        <w:t xml:space="preserve">ACS nano </w:t>
      </w:r>
      <w:r>
        <w:rPr>
          <w:b/>
          <w:bCs/>
        </w:rPr>
        <w:t>2024</w:t>
      </w:r>
      <w:r>
        <w:t xml:space="preserve">, </w:t>
      </w:r>
      <w:r>
        <w:rPr>
          <w:i/>
          <w:iCs/>
        </w:rPr>
        <w:t>18</w:t>
      </w:r>
      <w:r>
        <w:t xml:space="preserve"> (34), 23104-23116.</w:t>
      </w:r>
    </w:p>
    <w:p w14:paraId="5756FA85" w14:textId="77777777" w:rsidR="00322548" w:rsidRDefault="004D2B7B">
      <w:pPr>
        <w:spacing w:line="240" w:lineRule="auto"/>
      </w:pPr>
      <w:r>
        <w:t>(24) Sun, Y.; Yang, B.; Hua, Y.; Dong, Y.; Ye, J.; Wang, J.; Xu, L.; Liu, D. Construction and Characterization of a Mirror</w:t>
      </w:r>
      <w:r>
        <w:rPr>
          <w:rFonts w:ascii="Cambria Math" w:eastAsia="Cambria Math" w:hAnsi="Cambria Math" w:cs="Cambria Math"/>
        </w:rPr>
        <w:t>‐</w:t>
      </w:r>
      <w:r>
        <w:t>Image l</w:t>
      </w:r>
      <w:r>
        <w:rPr>
          <w:rFonts w:ascii="Cambria Math" w:eastAsia="Cambria Math" w:hAnsi="Cambria Math" w:cs="Cambria Math"/>
        </w:rPr>
        <w:t>‐</w:t>
      </w:r>
      <w:r>
        <w:t>DNA i</w:t>
      </w:r>
      <w:r>
        <w:rPr>
          <w:rFonts w:ascii="Cambria Math" w:eastAsia="Cambria Math" w:hAnsi="Cambria Math" w:cs="Cambria Math"/>
        </w:rPr>
        <w:t>‐</w:t>
      </w:r>
      <w:r>
        <w:t xml:space="preserve">Motif. </w:t>
      </w:r>
      <w:proofErr w:type="spellStart"/>
      <w:r>
        <w:rPr>
          <w:i/>
          <w:iCs/>
        </w:rPr>
        <w:t>ChemBioChem</w:t>
      </w:r>
      <w:proofErr w:type="spellEnd"/>
      <w:r>
        <w:rPr>
          <w:i/>
          <w:iCs/>
        </w:rPr>
        <w:t xml:space="preserve"> </w:t>
      </w:r>
      <w:r>
        <w:rPr>
          <w:b/>
          <w:bCs/>
        </w:rPr>
        <w:t>2020</w:t>
      </w:r>
      <w:r>
        <w:t xml:space="preserve">, </w:t>
      </w:r>
      <w:r>
        <w:rPr>
          <w:i/>
          <w:iCs/>
        </w:rPr>
        <w:t>21</w:t>
      </w:r>
      <w:r>
        <w:t xml:space="preserve"> (1-2), 94-97.</w:t>
      </w:r>
    </w:p>
    <w:p w14:paraId="3ED59715" w14:textId="77777777" w:rsidR="00322548" w:rsidRDefault="004D2B7B">
      <w:pPr>
        <w:spacing w:line="240" w:lineRule="auto"/>
      </w:pPr>
      <w:r>
        <w:t>(25) Yang, B.; Zhou, B.; Li, C.; Li, X.; Shi, Z.; Li, Y.; Zhu, C.; Li, X.; Hua, Y.; Pan, Y. A Biostable l</w:t>
      </w:r>
      <w:r>
        <w:rPr>
          <w:rFonts w:ascii="Cambria Math" w:eastAsia="Cambria Math" w:hAnsi="Cambria Math" w:cs="Cambria Math"/>
        </w:rPr>
        <w:t>‐</w:t>
      </w:r>
      <w:r>
        <w:t xml:space="preserve">DNA Hydrogel with Improved Stability for Biomedical Applications. </w:t>
      </w:r>
      <w:proofErr w:type="spellStart"/>
      <w:r>
        <w:rPr>
          <w:i/>
          <w:iCs/>
        </w:rPr>
        <w:t>Angewandte</w:t>
      </w:r>
      <w:proofErr w:type="spellEnd"/>
      <w:r>
        <w:rPr>
          <w:i/>
          <w:iCs/>
        </w:rPr>
        <w:t xml:space="preserve"> Chemie </w:t>
      </w:r>
      <w:r>
        <w:rPr>
          <w:b/>
          <w:bCs/>
        </w:rPr>
        <w:t>2022</w:t>
      </w:r>
      <w:r>
        <w:t xml:space="preserve">, </w:t>
      </w:r>
      <w:r>
        <w:rPr>
          <w:i/>
          <w:iCs/>
        </w:rPr>
        <w:t>134</w:t>
      </w:r>
      <w:r>
        <w:t xml:space="preserve"> (30), e202202520.</w:t>
      </w:r>
    </w:p>
    <w:p w14:paraId="2311E782" w14:textId="77777777" w:rsidR="00322548" w:rsidRDefault="004D2B7B">
      <w:pPr>
        <w:spacing w:line="240" w:lineRule="auto"/>
      </w:pPr>
      <w:r>
        <w:t xml:space="preserve">(26) Baeuerle, P.; Gires, O. EpCAM (CD326) finding its role in cancer. </w:t>
      </w:r>
      <w:r>
        <w:rPr>
          <w:i/>
          <w:iCs/>
        </w:rPr>
        <w:t xml:space="preserve">British journal of cancer </w:t>
      </w:r>
      <w:r>
        <w:rPr>
          <w:b/>
          <w:bCs/>
        </w:rPr>
        <w:t>2007</w:t>
      </w:r>
      <w:r>
        <w:t xml:space="preserve">, </w:t>
      </w:r>
      <w:r>
        <w:rPr>
          <w:i/>
          <w:iCs/>
        </w:rPr>
        <w:t>96</w:t>
      </w:r>
      <w:r>
        <w:t xml:space="preserve"> (3), 417-423.</w:t>
      </w:r>
    </w:p>
    <w:p w14:paraId="00EB28C4" w14:textId="77777777" w:rsidR="00322548" w:rsidRDefault="004D2B7B">
      <w:pPr>
        <w:spacing w:line="240" w:lineRule="auto"/>
      </w:pPr>
      <w:r>
        <w:t xml:space="preserve">(27) </w:t>
      </w:r>
      <w:proofErr w:type="spellStart"/>
      <w:r>
        <w:t>Vorobyeva</w:t>
      </w:r>
      <w:proofErr w:type="spellEnd"/>
      <w:r>
        <w:t xml:space="preserve">, A.; </w:t>
      </w:r>
      <w:proofErr w:type="spellStart"/>
      <w:r>
        <w:t>Bezverkhniaia</w:t>
      </w:r>
      <w:proofErr w:type="spellEnd"/>
      <w:r>
        <w:t xml:space="preserve">, E.; Konovalova, E.; </w:t>
      </w:r>
      <w:proofErr w:type="spellStart"/>
      <w:r>
        <w:t>Schulga</w:t>
      </w:r>
      <w:proofErr w:type="spellEnd"/>
      <w:r>
        <w:t xml:space="preserve">, A.; </w:t>
      </w:r>
      <w:proofErr w:type="spellStart"/>
      <w:r>
        <w:t>Garousi</w:t>
      </w:r>
      <w:proofErr w:type="spellEnd"/>
      <w:r>
        <w:t xml:space="preserve">, J.; Vorontsova, O.; </w:t>
      </w:r>
      <w:proofErr w:type="spellStart"/>
      <w:r>
        <w:t>Abouzayed</w:t>
      </w:r>
      <w:proofErr w:type="spellEnd"/>
      <w:r>
        <w:t xml:space="preserve">, A.; Orlova, A.; </w:t>
      </w:r>
      <w:proofErr w:type="spellStart"/>
      <w:r>
        <w:t>Deyev</w:t>
      </w:r>
      <w:proofErr w:type="spellEnd"/>
      <w:r>
        <w:t xml:space="preserve">, S.; </w:t>
      </w:r>
      <w:proofErr w:type="spellStart"/>
      <w:r>
        <w:t>Tolmachev</w:t>
      </w:r>
      <w:proofErr w:type="spellEnd"/>
      <w:r>
        <w:t xml:space="preserve">, V. Radionuclide molecular imaging of EpCAM expression in triple-negative breast cancer using the scaffold protein </w:t>
      </w:r>
      <w:proofErr w:type="spellStart"/>
      <w:r>
        <w:t>DARPin</w:t>
      </w:r>
      <w:proofErr w:type="spellEnd"/>
      <w:r>
        <w:t xml:space="preserve"> Ec1. </w:t>
      </w:r>
      <w:r>
        <w:rPr>
          <w:i/>
          <w:iCs/>
        </w:rPr>
        <w:t xml:space="preserve">Molecules </w:t>
      </w:r>
      <w:r>
        <w:rPr>
          <w:b/>
          <w:bCs/>
        </w:rPr>
        <w:t>2020</w:t>
      </w:r>
      <w:r>
        <w:t xml:space="preserve">, </w:t>
      </w:r>
      <w:r>
        <w:rPr>
          <w:i/>
          <w:iCs/>
        </w:rPr>
        <w:t>25</w:t>
      </w:r>
      <w:r>
        <w:t xml:space="preserve"> (20), 4719.</w:t>
      </w:r>
    </w:p>
    <w:p w14:paraId="5887A611" w14:textId="77777777" w:rsidR="00322548" w:rsidRDefault="004D2B7B">
      <w:pPr>
        <w:spacing w:line="240" w:lineRule="auto"/>
      </w:pPr>
      <w:r>
        <w:t xml:space="preserve">(28) Keefe, A. D.; Pai, S.; Ellington, A. Aptamers as therapeutics. </w:t>
      </w:r>
      <w:r>
        <w:rPr>
          <w:i/>
          <w:iCs/>
        </w:rPr>
        <w:t xml:space="preserve">Nature reviews Drug discovery </w:t>
      </w:r>
      <w:r>
        <w:rPr>
          <w:b/>
          <w:bCs/>
        </w:rPr>
        <w:t>2010</w:t>
      </w:r>
      <w:r>
        <w:t xml:space="preserve">, </w:t>
      </w:r>
      <w:r>
        <w:rPr>
          <w:i/>
          <w:iCs/>
        </w:rPr>
        <w:t>9</w:t>
      </w:r>
      <w:r>
        <w:t xml:space="preserve"> (7), 537-550.</w:t>
      </w:r>
    </w:p>
    <w:p w14:paraId="66FAC339" w14:textId="77777777" w:rsidR="00322548" w:rsidRDefault="004D2B7B">
      <w:pPr>
        <w:spacing w:line="240" w:lineRule="auto"/>
      </w:pPr>
      <w:r>
        <w:t xml:space="preserve">(29) Zhou, J.; Rossi, J. Aptamers as targeted therapeutics: current potential and challenges. </w:t>
      </w:r>
      <w:r>
        <w:rPr>
          <w:i/>
          <w:iCs/>
        </w:rPr>
        <w:t xml:space="preserve">Nature reviews Drug discovery </w:t>
      </w:r>
      <w:r>
        <w:rPr>
          <w:b/>
          <w:bCs/>
        </w:rPr>
        <w:t>2017</w:t>
      </w:r>
      <w:r>
        <w:t xml:space="preserve">, </w:t>
      </w:r>
      <w:r>
        <w:rPr>
          <w:i/>
          <w:iCs/>
        </w:rPr>
        <w:t>16</w:t>
      </w:r>
      <w:r>
        <w:t xml:space="preserve"> (3), 181-202.</w:t>
      </w:r>
    </w:p>
    <w:p w14:paraId="3D206056" w14:textId="77777777" w:rsidR="00322548" w:rsidRDefault="004D2B7B">
      <w:pPr>
        <w:spacing w:line="240" w:lineRule="auto"/>
      </w:pPr>
      <w:r>
        <w:t xml:space="preserve">(30) </w:t>
      </w:r>
      <w:proofErr w:type="spellStart"/>
      <w:r>
        <w:t>Shigdar</w:t>
      </w:r>
      <w:proofErr w:type="spellEnd"/>
      <w:r>
        <w:t xml:space="preserve">, S.; Lin, J.; Yu, Y.; </w:t>
      </w:r>
      <w:proofErr w:type="spellStart"/>
      <w:r>
        <w:t>Pastuovic</w:t>
      </w:r>
      <w:proofErr w:type="spellEnd"/>
      <w:r>
        <w:t xml:space="preserve">, M.; Wei, M.; Duan, W. RNA aptamer against a cancer stem cell marker epithelial cell adhesion molecule. </w:t>
      </w:r>
      <w:r>
        <w:rPr>
          <w:i/>
          <w:iCs/>
        </w:rPr>
        <w:t xml:space="preserve">Cancer science </w:t>
      </w:r>
      <w:r>
        <w:rPr>
          <w:b/>
          <w:bCs/>
        </w:rPr>
        <w:t>2011</w:t>
      </w:r>
      <w:r>
        <w:t xml:space="preserve">, </w:t>
      </w:r>
      <w:r>
        <w:rPr>
          <w:i/>
          <w:iCs/>
        </w:rPr>
        <w:t>102</w:t>
      </w:r>
      <w:r>
        <w:t xml:space="preserve"> (5), 991-998.</w:t>
      </w:r>
    </w:p>
    <w:p w14:paraId="1E1C9C09" w14:textId="77777777" w:rsidR="00322548" w:rsidRDefault="004D2B7B">
      <w:pPr>
        <w:spacing w:line="240" w:lineRule="auto"/>
      </w:pPr>
      <w:r>
        <w:t xml:space="preserve">(31) Rampersad, S. N. Multiple applications of Alamar Blue as an indicator of metabolic function and cellular health in cell viability bioassays. </w:t>
      </w:r>
      <w:r>
        <w:rPr>
          <w:i/>
          <w:iCs/>
        </w:rPr>
        <w:t xml:space="preserve">Sensors </w:t>
      </w:r>
      <w:r>
        <w:rPr>
          <w:b/>
          <w:bCs/>
        </w:rPr>
        <w:t>2012</w:t>
      </w:r>
      <w:r>
        <w:t xml:space="preserve">, </w:t>
      </w:r>
      <w:r>
        <w:rPr>
          <w:i/>
          <w:iCs/>
        </w:rPr>
        <w:t>12</w:t>
      </w:r>
      <w:r>
        <w:t xml:space="preserve"> (9), 12347-12360.</w:t>
      </w:r>
    </w:p>
    <w:p w14:paraId="4A9AC21C" w14:textId="77777777" w:rsidR="00322548" w:rsidRDefault="004D2B7B">
      <w:pPr>
        <w:spacing w:after="200" w:line="240" w:lineRule="auto"/>
      </w:pPr>
      <w:r>
        <w:t xml:space="preserve">(32) Kim, K.-R.; Kim, H. Y.; Lee, Y.-D.; Ha, J. S.; Kang, J. H.; Jeong, H.; Bang, D.; Ko, Y. T.; Kim, S.; Lee, H. Self-assembled mirror DNA nanostructures for tumor-specific delivery of anticancer drugs. </w:t>
      </w:r>
      <w:r>
        <w:rPr>
          <w:i/>
          <w:iCs/>
        </w:rPr>
        <w:t xml:space="preserve">J. Control. Release </w:t>
      </w:r>
      <w:r>
        <w:rPr>
          <w:b/>
          <w:bCs/>
        </w:rPr>
        <w:t>2016</w:t>
      </w:r>
      <w:r>
        <w:t xml:space="preserve">, </w:t>
      </w:r>
      <w:r>
        <w:rPr>
          <w:i/>
          <w:iCs/>
        </w:rPr>
        <w:t>243</w:t>
      </w:r>
      <w:r>
        <w:t>, 121-131.</w:t>
      </w:r>
    </w:p>
    <w:p w14:paraId="2E1598E5" w14:textId="77777777" w:rsidR="00322548" w:rsidRDefault="00322548">
      <w:pPr>
        <w:spacing w:after="200" w:line="360" w:lineRule="auto"/>
        <w:rPr>
          <w:b/>
          <w:bCs/>
          <w:sz w:val="20"/>
          <w:szCs w:val="20"/>
        </w:rPr>
      </w:pPr>
    </w:p>
    <w:p w14:paraId="0D97522D" w14:textId="77777777" w:rsidR="00322548" w:rsidRDefault="004D2B7B">
      <w:pPr>
        <w:spacing w:line="360" w:lineRule="auto"/>
        <w:rPr>
          <w:b/>
          <w:bCs/>
          <w:sz w:val="20"/>
          <w:szCs w:val="20"/>
        </w:rPr>
      </w:pPr>
      <w:r>
        <w:br w:type="page"/>
      </w:r>
    </w:p>
    <w:p w14:paraId="013838AE" w14:textId="77777777" w:rsidR="00322548" w:rsidRDefault="004D2B7B">
      <w:pPr>
        <w:spacing w:line="360" w:lineRule="auto"/>
        <w:rPr>
          <w:b/>
          <w:bCs/>
          <w:sz w:val="20"/>
          <w:szCs w:val="20"/>
        </w:rPr>
      </w:pPr>
      <w:r>
        <w:rPr>
          <w:b/>
          <w:bCs/>
          <w:sz w:val="20"/>
          <w:szCs w:val="20"/>
        </w:rPr>
        <w:lastRenderedPageBreak/>
        <w:t>FIGURE and LEGENDS</w:t>
      </w:r>
    </w:p>
    <w:p w14:paraId="64E324C1" w14:textId="77777777" w:rsidR="00322548" w:rsidRDefault="004D2B7B">
      <w:pPr>
        <w:spacing w:line="360" w:lineRule="auto"/>
        <w:jc w:val="center"/>
        <w:rPr>
          <w:b/>
          <w:bCs/>
          <w:sz w:val="20"/>
          <w:szCs w:val="20"/>
        </w:rPr>
      </w:pPr>
      <w:r>
        <w:rPr>
          <w:b/>
          <w:bCs/>
          <w:noProof/>
          <w:sz w:val="20"/>
          <w:szCs w:val="20"/>
        </w:rPr>
        <w:drawing>
          <wp:inline distT="0" distB="0" distL="114300" distR="114300" wp14:anchorId="726D4AC2" wp14:editId="65D9E3BE">
            <wp:extent cx="2555875" cy="299783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l="11145" t="2181" r="49485" b="5472"/>
                    <a:stretch>
                      <a:fillRect/>
                    </a:stretch>
                  </pic:blipFill>
                  <pic:spPr>
                    <a:xfrm>
                      <a:off x="0" y="0"/>
                      <a:ext cx="2555875" cy="2997835"/>
                    </a:xfrm>
                    <a:prstGeom prst="rect">
                      <a:avLst/>
                    </a:prstGeom>
                    <a:ln/>
                  </pic:spPr>
                </pic:pic>
              </a:graphicData>
            </a:graphic>
          </wp:inline>
        </w:drawing>
      </w:r>
    </w:p>
    <w:p w14:paraId="7905ED22" w14:textId="77777777" w:rsidR="00322548" w:rsidRDefault="004D2B7B">
      <w:pPr>
        <w:spacing w:after="200" w:line="240" w:lineRule="auto"/>
        <w:rPr>
          <w:sz w:val="20"/>
          <w:szCs w:val="20"/>
        </w:rPr>
      </w:pPr>
      <w:r>
        <w:rPr>
          <w:sz w:val="20"/>
          <w:szCs w:val="20"/>
        </w:rPr>
        <w:t xml:space="preserve">Figure 1. Design, construction, and characterization of L-DNA nanostructure. (A) Chemical structures of D- and L- ribonucleotides; (B) Sequence and secondary structure of synthetic L-DNA nanostructure. Green: L-DNA duplex for DOX loading; purple: carbon 18 linker; black: EpCAM aptamer. (C) </w:t>
      </w:r>
      <w:r>
        <w:rPr>
          <w:i/>
          <w:iCs/>
          <w:sz w:val="20"/>
          <w:szCs w:val="20"/>
        </w:rPr>
        <w:t>T</w:t>
      </w:r>
      <w:r>
        <w:rPr>
          <w:sz w:val="20"/>
          <w:szCs w:val="20"/>
          <w:vertAlign w:val="subscript"/>
        </w:rPr>
        <w:t>m</w:t>
      </w:r>
      <w:r>
        <w:rPr>
          <w:sz w:val="20"/>
          <w:szCs w:val="20"/>
        </w:rPr>
        <w:t xml:space="preserve"> melting curves for the assembly of the aptamer-L-DNA structure (red) and aptamer-D-DNA structure (green). (D) Stability assay of L- (left) and D-DNA (right) after treating with phosphodiesterase.</w:t>
      </w:r>
    </w:p>
    <w:p w14:paraId="736721AB" w14:textId="77777777" w:rsidR="00322548" w:rsidRDefault="004D2B7B">
      <w:pPr>
        <w:spacing w:line="240" w:lineRule="auto"/>
        <w:rPr>
          <w:sz w:val="20"/>
          <w:szCs w:val="20"/>
        </w:rPr>
      </w:pPr>
      <w:r>
        <w:rPr>
          <w:noProof/>
        </w:rPr>
        <w:drawing>
          <wp:anchor distT="0" distB="0" distL="114300" distR="114300" simplePos="0" relativeHeight="251658240" behindDoc="0" locked="0" layoutInCell="1" hidden="0" allowOverlap="1" wp14:anchorId="7302E62F" wp14:editId="51458412">
            <wp:simplePos x="0" y="0"/>
            <wp:positionH relativeFrom="column">
              <wp:posOffset>384810</wp:posOffset>
            </wp:positionH>
            <wp:positionV relativeFrom="paragraph">
              <wp:posOffset>161120</wp:posOffset>
            </wp:positionV>
            <wp:extent cx="5153660" cy="1277620"/>
            <wp:effectExtent l="0" t="0" r="0" b="0"/>
            <wp:wrapTopAndBottom distT="0" dist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10426" t="23401" r="21932" b="43039"/>
                    <a:stretch>
                      <a:fillRect/>
                    </a:stretch>
                  </pic:blipFill>
                  <pic:spPr>
                    <a:xfrm>
                      <a:off x="0" y="0"/>
                      <a:ext cx="5153660" cy="1277620"/>
                    </a:xfrm>
                    <a:prstGeom prst="rect">
                      <a:avLst/>
                    </a:prstGeom>
                    <a:ln/>
                  </pic:spPr>
                </pic:pic>
              </a:graphicData>
            </a:graphic>
          </wp:anchor>
        </w:drawing>
      </w:r>
    </w:p>
    <w:p w14:paraId="568381C0" w14:textId="77777777" w:rsidR="00322548" w:rsidRDefault="004D2B7B">
      <w:pPr>
        <w:spacing w:line="240" w:lineRule="auto"/>
        <w:rPr>
          <w:sz w:val="20"/>
          <w:szCs w:val="20"/>
        </w:rPr>
      </w:pPr>
      <w:r>
        <w:rPr>
          <w:sz w:val="20"/>
          <w:szCs w:val="20"/>
        </w:rPr>
        <w:t xml:space="preserve">Figure 2. Binding and targeting of L-DNA nanostructure mediated by the EpCAM aptamer. (A) Fluorescent microscope images indicating the binding of the nanostructure to MDA-MB-231 cells (blue: nuclei; red: L-DNA nanostructures, the concentration of each fluorescent RNA </w:t>
      </w:r>
      <w:proofErr w:type="gramStart"/>
      <w:r>
        <w:rPr>
          <w:sz w:val="20"/>
          <w:szCs w:val="20"/>
        </w:rPr>
        <w:t>nanostructures</w:t>
      </w:r>
      <w:proofErr w:type="gramEnd"/>
      <w:r>
        <w:rPr>
          <w:sz w:val="20"/>
          <w:szCs w:val="20"/>
        </w:rPr>
        <w:t xml:space="preserve"> in treatment is 50 </w:t>
      </w:r>
      <w:proofErr w:type="spellStart"/>
      <w:r>
        <w:rPr>
          <w:sz w:val="20"/>
          <w:szCs w:val="20"/>
        </w:rPr>
        <w:t>nM</w:t>
      </w:r>
      <w:proofErr w:type="spellEnd"/>
      <w:r>
        <w:rPr>
          <w:sz w:val="20"/>
          <w:szCs w:val="20"/>
        </w:rPr>
        <w:t>). (B) Flow cytometry analysis of Cy5-positive cells after treatment with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L-DNA and Cy5</w:t>
      </w:r>
      <w:r>
        <w:rPr>
          <w:rFonts w:ascii="Cambria Math" w:eastAsia="Cambria Math" w:hAnsi="Cambria Math" w:cs="Cambria Math"/>
          <w:sz w:val="20"/>
          <w:szCs w:val="20"/>
        </w:rPr>
        <w:t>⁺</w:t>
      </w:r>
      <w:r>
        <w:rPr>
          <w:sz w:val="20"/>
          <w:szCs w:val="20"/>
        </w:rPr>
        <w:t>, aptamer</w:t>
      </w:r>
      <w:r>
        <w:rPr>
          <w:rFonts w:ascii="Cambria Math" w:eastAsia="Cambria Math" w:hAnsi="Cambria Math" w:cs="Cambria Math"/>
          <w:sz w:val="20"/>
          <w:szCs w:val="20"/>
        </w:rPr>
        <w:t>⁻</w:t>
      </w:r>
      <w:r>
        <w:rPr>
          <w:sz w:val="20"/>
          <w:szCs w:val="20"/>
        </w:rPr>
        <w:t xml:space="preserve"> L-DNA structures. The presence of EpCAM aptamer significantly increased the efficiency of nanostructure’s binding to cancer cells, with 78.7% of cells Cy5-positive in the aptamer</w:t>
      </w:r>
      <w:r>
        <w:rPr>
          <w:rFonts w:ascii="Cambria Math" w:eastAsia="Cambria Math" w:hAnsi="Cambria Math" w:cs="Cambria Math"/>
          <w:sz w:val="20"/>
          <w:szCs w:val="20"/>
        </w:rPr>
        <w:t>⁺</w:t>
      </w:r>
      <w:r>
        <w:rPr>
          <w:sz w:val="20"/>
          <w:szCs w:val="20"/>
        </w:rPr>
        <w:t xml:space="preserve"> condition compared to 1.02% in the aptamer</w:t>
      </w:r>
      <w:r>
        <w:rPr>
          <w:rFonts w:ascii="Cambria Math" w:eastAsia="Cambria Math" w:hAnsi="Cambria Math" w:cs="Cambria Math"/>
          <w:sz w:val="20"/>
          <w:szCs w:val="20"/>
        </w:rPr>
        <w:t>⁻</w:t>
      </w:r>
      <w:r>
        <w:rPr>
          <w:sz w:val="20"/>
          <w:szCs w:val="20"/>
        </w:rPr>
        <w:t xml:space="preserve"> condition.</w:t>
      </w:r>
    </w:p>
    <w:p w14:paraId="0E157A7F" w14:textId="77777777" w:rsidR="00322548" w:rsidRDefault="00322548">
      <w:pPr>
        <w:spacing w:line="240" w:lineRule="auto"/>
        <w:rPr>
          <w:sz w:val="20"/>
          <w:szCs w:val="20"/>
        </w:rPr>
      </w:pPr>
    </w:p>
    <w:p w14:paraId="69090225" w14:textId="77777777" w:rsidR="00322548" w:rsidRDefault="00322548">
      <w:pPr>
        <w:spacing w:line="240" w:lineRule="auto"/>
        <w:rPr>
          <w:sz w:val="20"/>
          <w:szCs w:val="20"/>
        </w:rPr>
      </w:pPr>
    </w:p>
    <w:p w14:paraId="19A4457F" w14:textId="77777777" w:rsidR="00322548" w:rsidRDefault="00322548">
      <w:pPr>
        <w:spacing w:line="240" w:lineRule="auto"/>
        <w:rPr>
          <w:sz w:val="20"/>
          <w:szCs w:val="20"/>
        </w:rPr>
      </w:pPr>
    </w:p>
    <w:p w14:paraId="4E0ADCDF" w14:textId="77777777" w:rsidR="00322548" w:rsidRDefault="00322548">
      <w:pPr>
        <w:spacing w:after="200" w:line="240" w:lineRule="auto"/>
        <w:rPr>
          <w:sz w:val="20"/>
          <w:szCs w:val="20"/>
        </w:rPr>
      </w:pPr>
    </w:p>
    <w:p w14:paraId="11C838A5" w14:textId="77777777" w:rsidR="00322548" w:rsidRDefault="00322548">
      <w:pPr>
        <w:spacing w:after="200" w:line="240" w:lineRule="auto"/>
        <w:rPr>
          <w:sz w:val="20"/>
          <w:szCs w:val="20"/>
        </w:rPr>
      </w:pPr>
    </w:p>
    <w:p w14:paraId="4931DF6B" w14:textId="77777777" w:rsidR="00322548" w:rsidRDefault="004D2B7B">
      <w:pPr>
        <w:spacing w:after="200" w:line="240" w:lineRule="auto"/>
        <w:jc w:val="center"/>
        <w:rPr>
          <w:sz w:val="20"/>
          <w:szCs w:val="20"/>
        </w:rPr>
      </w:pPr>
      <w:r>
        <w:rPr>
          <w:noProof/>
          <w:sz w:val="20"/>
          <w:szCs w:val="20"/>
        </w:rPr>
        <w:lastRenderedPageBreak/>
        <w:drawing>
          <wp:inline distT="19050" distB="19050" distL="19050" distR="19050" wp14:anchorId="72E88F10" wp14:editId="5EC54190">
            <wp:extent cx="1776413" cy="1480344"/>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l="-367" r="37056"/>
                    <a:stretch>
                      <a:fillRect/>
                    </a:stretch>
                  </pic:blipFill>
                  <pic:spPr>
                    <a:xfrm>
                      <a:off x="0" y="0"/>
                      <a:ext cx="1776413" cy="1480344"/>
                    </a:xfrm>
                    <a:prstGeom prst="rect">
                      <a:avLst/>
                    </a:prstGeom>
                    <a:ln/>
                  </pic:spPr>
                </pic:pic>
              </a:graphicData>
            </a:graphic>
          </wp:inline>
        </w:drawing>
      </w:r>
      <w:r>
        <w:rPr>
          <w:noProof/>
          <w:sz w:val="20"/>
          <w:szCs w:val="20"/>
        </w:rPr>
        <w:drawing>
          <wp:inline distT="19050" distB="19050" distL="19050" distR="19050" wp14:anchorId="507108C1" wp14:editId="1B69ACFB">
            <wp:extent cx="3071813" cy="1454594"/>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1546" t="15998" b="3324"/>
                    <a:stretch>
                      <a:fillRect/>
                    </a:stretch>
                  </pic:blipFill>
                  <pic:spPr>
                    <a:xfrm>
                      <a:off x="0" y="0"/>
                      <a:ext cx="3071813" cy="1454594"/>
                    </a:xfrm>
                    <a:prstGeom prst="rect">
                      <a:avLst/>
                    </a:prstGeom>
                    <a:ln/>
                  </pic:spPr>
                </pic:pic>
              </a:graphicData>
            </a:graphic>
          </wp:inline>
        </w:drawing>
      </w:r>
    </w:p>
    <w:p w14:paraId="1954DEAB" w14:textId="77777777" w:rsidR="00322548" w:rsidRDefault="00322548">
      <w:pPr>
        <w:spacing w:after="200" w:line="240" w:lineRule="auto"/>
        <w:rPr>
          <w:sz w:val="20"/>
          <w:szCs w:val="20"/>
        </w:rPr>
      </w:pPr>
    </w:p>
    <w:p w14:paraId="67EF14F2" w14:textId="77777777" w:rsidR="00322548" w:rsidRDefault="004D2B7B">
      <w:pPr>
        <w:spacing w:after="200" w:line="240" w:lineRule="auto"/>
        <w:rPr>
          <w:sz w:val="20"/>
          <w:szCs w:val="20"/>
        </w:rPr>
      </w:pPr>
      <w:r>
        <w:rPr>
          <w:sz w:val="20"/>
          <w:szCs w:val="20"/>
        </w:rPr>
        <w:t>Figure 3. Comparison of inhibition of cell growth in MDA-MB-231 and HEK293t cells by nanostructures. (A) Alamar blue assay using different nanostructures to treat MDA-MB-231 at 4 different concentrations. (B) Alamar blue assay using different nanostructures to treat HEK293t cells at 4 different concentrations. The cell growth inhibitory effects were compared between different nanostructures and different concentrations. Data are representative of triplicate experiments. Error bars represent the mean ± SEM f</w:t>
      </w:r>
      <w:r>
        <w:rPr>
          <w:sz w:val="20"/>
          <w:szCs w:val="20"/>
        </w:rPr>
        <w:t>rom three independent experiments (n = 3).</w:t>
      </w:r>
    </w:p>
    <w:p w14:paraId="5A03650C" w14:textId="77777777" w:rsidR="00322548" w:rsidRDefault="00322548">
      <w:pPr>
        <w:spacing w:after="200" w:line="240" w:lineRule="auto"/>
        <w:rPr>
          <w:sz w:val="20"/>
          <w:szCs w:val="20"/>
        </w:rPr>
      </w:pPr>
    </w:p>
    <w:p w14:paraId="4F487518" w14:textId="77777777" w:rsidR="00322548" w:rsidRDefault="004D2B7B">
      <w:pPr>
        <w:pBdr>
          <w:bottom w:val="single" w:sz="4" w:space="1" w:color="000000"/>
        </w:pBdr>
        <w:spacing w:after="240"/>
        <w:rPr>
          <w:rFonts w:ascii="Arno Pro" w:eastAsia="Arno Pro" w:hAnsi="Arno Pro" w:cs="Arno Pro"/>
        </w:rPr>
      </w:pPr>
      <w:r>
        <w:rPr>
          <w:rFonts w:ascii="Arno Pro" w:eastAsia="Arno Pro" w:hAnsi="Arno Pro" w:cs="Arno Pro"/>
        </w:rPr>
        <w:t>TOC Graphic</w:t>
      </w:r>
    </w:p>
    <w:p w14:paraId="29C0FD9A" w14:textId="77777777" w:rsidR="00322548" w:rsidRDefault="004D2B7B">
      <w:pPr>
        <w:spacing w:after="200"/>
        <w:rPr>
          <w:sz w:val="20"/>
          <w:szCs w:val="20"/>
        </w:rPr>
      </w:pPr>
      <w:r>
        <w:rPr>
          <w:noProof/>
        </w:rPr>
        <w:drawing>
          <wp:anchor distT="0" distB="0" distL="114300" distR="114300" simplePos="0" relativeHeight="251659264" behindDoc="0" locked="0" layoutInCell="1" hidden="0" allowOverlap="1" wp14:anchorId="401DDCFE" wp14:editId="54B3E4DF">
            <wp:simplePos x="0" y="0"/>
            <wp:positionH relativeFrom="column">
              <wp:posOffset>737772</wp:posOffset>
            </wp:positionH>
            <wp:positionV relativeFrom="paragraph">
              <wp:posOffset>144438</wp:posOffset>
            </wp:positionV>
            <wp:extent cx="4765040" cy="333311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765040" cy="3333115"/>
                    </a:xfrm>
                    <a:prstGeom prst="rect">
                      <a:avLst/>
                    </a:prstGeom>
                    <a:ln/>
                  </pic:spPr>
                </pic:pic>
              </a:graphicData>
            </a:graphic>
          </wp:anchor>
        </w:drawing>
      </w:r>
    </w:p>
    <w:p w14:paraId="6BCDB54A" w14:textId="77777777" w:rsidR="00322548" w:rsidRDefault="00322548">
      <w:pPr>
        <w:spacing w:after="200"/>
        <w:rPr>
          <w:sz w:val="20"/>
          <w:szCs w:val="20"/>
        </w:rPr>
      </w:pPr>
    </w:p>
    <w:p w14:paraId="4DB0C880" w14:textId="77777777" w:rsidR="00322548" w:rsidRDefault="00322548">
      <w:pPr>
        <w:spacing w:after="200"/>
        <w:rPr>
          <w:b/>
          <w:bCs/>
          <w:sz w:val="28"/>
          <w:szCs w:val="28"/>
        </w:rPr>
      </w:pPr>
    </w:p>
    <w:p w14:paraId="1208B0A4" w14:textId="77777777" w:rsidR="00322548" w:rsidRDefault="00322548"/>
    <w:sectPr w:rsidR="0032254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5CE4BF-0549-4CC4-AA2E-801229829C84}"/>
  </w:font>
  <w:font w:name="Cambria Math">
    <w:panose1 w:val="02040503050406030204"/>
    <w:charset w:val="00"/>
    <w:family w:val="roman"/>
    <w:pitch w:val="variable"/>
    <w:sig w:usb0="E00006FF" w:usb1="420024FF" w:usb2="02000000" w:usb3="00000000" w:csb0="0000019F" w:csb1="00000000"/>
    <w:embedRegular r:id="rId2" w:fontKey="{FDFFFED9-2198-4396-87FE-CC70083CAC68}"/>
  </w:font>
  <w:font w:name="Arno Pro">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3" w:fontKey="{27067A2B-6472-4591-B36A-1944D2A7DD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548"/>
    <w:rsid w:val="00076C14"/>
    <w:rsid w:val="002651D0"/>
    <w:rsid w:val="002E20AF"/>
    <w:rsid w:val="00322548"/>
    <w:rsid w:val="005B59E9"/>
    <w:rsid w:val="0060646E"/>
    <w:rsid w:val="0092197A"/>
    <w:rsid w:val="00922913"/>
    <w:rsid w:val="00B479E9"/>
    <w:rsid w:val="00C703B3"/>
    <w:rsid w:val="00F32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8311"/>
  <w15:docId w15:val="{5B43AD25-BEEC-4469-A001-C3A6D59B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wz15@iu.edu" TargetMode="Externa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b31a5d86-6dda-4457-85e5-c55bbc07923d}" enabled="0" method="" siteId="{b31a5d86-6dda-4457-85e5-c55bbc07923d}" removed="1"/>
</clbl:labelList>
</file>

<file path=docProps/app.xml><?xml version="1.0" encoding="utf-8"?>
<Properties xmlns="http://schemas.openxmlformats.org/officeDocument/2006/extended-properties" xmlns:vt="http://schemas.openxmlformats.org/officeDocument/2006/docPropsVTypes">
  <Template>Normal</Template>
  <TotalTime>1492</TotalTime>
  <Pages>13</Pages>
  <Words>4668</Words>
  <Characters>26614</Characters>
  <Application>Microsoft Office Word</Application>
  <DocSecurity>0</DocSecurity>
  <Lines>221</Lines>
  <Paragraphs>62</Paragraphs>
  <ScaleCrop>false</ScaleCrop>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Lanying Wang</cp:lastModifiedBy>
  <cp:revision>3</cp:revision>
  <dcterms:created xsi:type="dcterms:W3CDTF">2026-08-16T05:37:00Z</dcterms:created>
  <dcterms:modified xsi:type="dcterms:W3CDTF">2026-08-20T03:16:00Z</dcterms:modified>
</cp:coreProperties>
</file>